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7B820" w14:textId="77777777" w:rsidR="00AD37A3" w:rsidRDefault="00AD37A3" w:rsidP="009F5783">
      <w:pPr>
        <w:keepNext/>
        <w:overflowPunct w:val="0"/>
        <w:autoSpaceDE w:val="0"/>
        <w:autoSpaceDN w:val="0"/>
        <w:adjustRightInd w:val="0"/>
        <w:spacing w:before="120" w:after="120" w:line="240" w:lineRule="auto"/>
        <w:ind w:rightChars="-2" w:right="-4"/>
        <w:jc w:val="center"/>
        <w:outlineLvl w:val="1"/>
        <w:rPr>
          <w:rFonts w:ascii="Arial" w:eastAsia="Times New Roman" w:hAnsi="Arial" w:cs="Arial"/>
          <w:b/>
          <w:sz w:val="24"/>
          <w:szCs w:val="24"/>
          <w:lang w:eastAsia="en-GB"/>
        </w:rPr>
      </w:pPr>
      <w:bookmarkStart w:id="0" w:name="_GoBack"/>
      <w:bookmarkEnd w:id="0"/>
      <w:r w:rsidRPr="00AD37A3">
        <w:rPr>
          <w:rFonts w:ascii="Arial" w:hAnsi="Arial" w:cs="Arial"/>
          <w:b/>
          <w:sz w:val="24"/>
          <w:szCs w:val="24"/>
        </w:rPr>
        <w:t>COVID-19 mRNA Vaccine BNT162b2 Pfizer/BioNTech</w:t>
      </w:r>
      <w:r w:rsidRPr="00AD37A3">
        <w:rPr>
          <w:b/>
        </w:rPr>
        <w:t xml:space="preserve"> </w:t>
      </w:r>
      <w:r w:rsidRPr="00AD37A3">
        <w:rPr>
          <w:rFonts w:ascii="Arial" w:eastAsia="Times New Roman" w:hAnsi="Arial" w:cs="Arial"/>
          <w:b/>
          <w:sz w:val="24"/>
          <w:szCs w:val="24"/>
          <w:lang w:eastAsia="en-GB"/>
        </w:rPr>
        <w:t xml:space="preserve"> V</w:t>
      </w:r>
      <w:r w:rsidR="009F5783" w:rsidRPr="00AD37A3">
        <w:rPr>
          <w:rFonts w:ascii="Arial" w:eastAsia="Times New Roman" w:hAnsi="Arial" w:cs="Arial"/>
          <w:b/>
          <w:sz w:val="24"/>
          <w:szCs w:val="24"/>
          <w:lang w:eastAsia="en-GB"/>
        </w:rPr>
        <w:t xml:space="preserve">accine </w:t>
      </w:r>
    </w:p>
    <w:p w14:paraId="175F6245" w14:textId="77777777" w:rsidR="009F5783" w:rsidRPr="00AD37A3" w:rsidRDefault="009A45B4" w:rsidP="009F5783">
      <w:pPr>
        <w:keepNext/>
        <w:overflowPunct w:val="0"/>
        <w:autoSpaceDE w:val="0"/>
        <w:autoSpaceDN w:val="0"/>
        <w:adjustRightInd w:val="0"/>
        <w:spacing w:before="120" w:after="120" w:line="240" w:lineRule="auto"/>
        <w:ind w:rightChars="-2" w:right="-4"/>
        <w:jc w:val="center"/>
        <w:outlineLvl w:val="1"/>
        <w:rPr>
          <w:rFonts w:ascii="Arial" w:eastAsia="Times New Roman" w:hAnsi="Arial" w:cs="Arial"/>
          <w:b/>
          <w:sz w:val="24"/>
          <w:szCs w:val="24"/>
          <w:lang w:eastAsia="en-GB"/>
        </w:rPr>
      </w:pPr>
      <w:r w:rsidRPr="00AD37A3">
        <w:rPr>
          <w:rFonts w:ascii="Arial" w:eastAsia="Times New Roman" w:hAnsi="Arial" w:cs="Arial"/>
          <w:b/>
          <w:sz w:val="24"/>
          <w:szCs w:val="24"/>
          <w:lang w:eastAsia="en-GB"/>
        </w:rPr>
        <w:t xml:space="preserve">National </w:t>
      </w:r>
      <w:r w:rsidR="009F5783" w:rsidRPr="00AD37A3">
        <w:rPr>
          <w:rFonts w:ascii="Arial" w:eastAsia="Times New Roman" w:hAnsi="Arial" w:cs="Arial"/>
          <w:b/>
          <w:sz w:val="24"/>
          <w:szCs w:val="24"/>
          <w:lang w:eastAsia="en-GB"/>
        </w:rPr>
        <w:t>Protocol</w:t>
      </w:r>
    </w:p>
    <w:p w14:paraId="41499EDA" w14:textId="77777777" w:rsidR="009F5783" w:rsidRPr="00CC79BD" w:rsidRDefault="009F5783" w:rsidP="009F5783">
      <w:pPr>
        <w:overflowPunct w:val="0"/>
        <w:autoSpaceDE w:val="0"/>
        <w:autoSpaceDN w:val="0"/>
        <w:adjustRightInd w:val="0"/>
        <w:spacing w:before="120" w:after="0" w:line="240" w:lineRule="auto"/>
        <w:ind w:rightChars="-375" w:right="-825"/>
        <w:rPr>
          <w:rFonts w:ascii="Arial" w:eastAsia="Times New Roman" w:hAnsi="Arial" w:cs="Arial"/>
          <w:sz w:val="24"/>
          <w:szCs w:val="24"/>
          <w:lang w:eastAsia="en-GB"/>
        </w:rPr>
      </w:pPr>
      <w:bookmarkStart w:id="1" w:name="_Hlk34741928"/>
      <w:r w:rsidRPr="00CC79BD">
        <w:rPr>
          <w:rFonts w:ascii="Arial" w:eastAsia="Times New Roman" w:hAnsi="Arial" w:cs="Arial"/>
          <w:color w:val="000000"/>
          <w:sz w:val="24"/>
          <w:szCs w:val="24"/>
          <w:lang w:eastAsia="en-GB"/>
        </w:rPr>
        <w:t>Reference no:</w:t>
      </w:r>
      <w:r w:rsidRPr="00CC79BD">
        <w:rPr>
          <w:rFonts w:ascii="Arial" w:eastAsia="Times New Roman" w:hAnsi="Arial" w:cs="Arial"/>
          <w:color w:val="000000"/>
          <w:sz w:val="24"/>
          <w:szCs w:val="24"/>
          <w:lang w:eastAsia="en-GB"/>
        </w:rPr>
        <w:tab/>
      </w:r>
      <w:r w:rsidR="00AD37A3" w:rsidRPr="00AD37A3">
        <w:rPr>
          <w:rFonts w:ascii="Arial" w:hAnsi="Arial" w:cs="Arial"/>
          <w:sz w:val="24"/>
          <w:szCs w:val="24"/>
        </w:rPr>
        <w:t>COVID-19 mRNA Vaccine BNT162b2 Pfizer/BioNTech</w:t>
      </w:r>
      <w:r w:rsidR="00AD37A3">
        <w:t xml:space="preserve"> </w:t>
      </w:r>
      <w:r w:rsidRPr="00CC79BD">
        <w:rPr>
          <w:rFonts w:ascii="Arial" w:eastAsia="Times New Roman" w:hAnsi="Arial" w:cs="Arial"/>
          <w:sz w:val="24"/>
          <w:szCs w:val="24"/>
          <w:lang w:eastAsia="en-GB"/>
        </w:rPr>
        <w:t xml:space="preserve"> Vaccine Protocol </w:t>
      </w:r>
    </w:p>
    <w:p w14:paraId="405FDB00" w14:textId="77777777" w:rsidR="00E24FB2" w:rsidRPr="00CC79BD" w:rsidRDefault="00E24FB2" w:rsidP="00E24FB2">
      <w:pPr>
        <w:overflowPunct w:val="0"/>
        <w:autoSpaceDE w:val="0"/>
        <w:autoSpaceDN w:val="0"/>
        <w:adjustRightInd w:val="0"/>
        <w:spacing w:after="0" w:line="240" w:lineRule="auto"/>
        <w:ind w:rightChars="-375" w:right="-825"/>
        <w:contextualSpacing/>
        <w:rPr>
          <w:rFonts w:ascii="Arial" w:eastAsia="Times New Roman" w:hAnsi="Arial" w:cs="Arial"/>
          <w:sz w:val="24"/>
          <w:szCs w:val="24"/>
          <w:lang w:eastAsia="en-GB"/>
        </w:rPr>
      </w:pPr>
      <w:r w:rsidRPr="00CC79BD">
        <w:rPr>
          <w:rFonts w:ascii="Arial" w:eastAsia="Times New Roman" w:hAnsi="Arial" w:cs="Arial"/>
          <w:sz w:val="24"/>
          <w:szCs w:val="24"/>
          <w:lang w:eastAsia="en-GB"/>
        </w:rPr>
        <w:t xml:space="preserve">Version no: </w:t>
      </w:r>
      <w:r w:rsidRPr="00CC79BD">
        <w:rPr>
          <w:rFonts w:ascii="Arial" w:eastAsia="Times New Roman" w:hAnsi="Arial" w:cs="Arial"/>
          <w:sz w:val="24"/>
          <w:szCs w:val="24"/>
          <w:lang w:eastAsia="en-GB"/>
        </w:rPr>
        <w:tab/>
      </w:r>
      <w:r w:rsidRPr="00CC79BD">
        <w:rPr>
          <w:rFonts w:ascii="Arial" w:eastAsia="Times New Roman" w:hAnsi="Arial" w:cs="Arial"/>
          <w:sz w:val="24"/>
          <w:szCs w:val="24"/>
          <w:lang w:eastAsia="en-GB"/>
        </w:rPr>
        <w:tab/>
      </w:r>
      <w:r>
        <w:rPr>
          <w:rFonts w:ascii="Arial" w:eastAsia="Times New Roman" w:hAnsi="Arial" w:cs="Arial"/>
          <w:sz w:val="24"/>
          <w:szCs w:val="24"/>
          <w:lang w:eastAsia="en-GB"/>
        </w:rPr>
        <w:t>v</w:t>
      </w:r>
      <w:r w:rsidR="00292BBB">
        <w:rPr>
          <w:rFonts w:ascii="Arial" w:eastAsia="Times New Roman" w:hAnsi="Arial" w:cs="Arial"/>
          <w:sz w:val="24"/>
          <w:szCs w:val="24"/>
          <w:lang w:eastAsia="en-GB"/>
        </w:rPr>
        <w:t>01</w:t>
      </w:r>
    </w:p>
    <w:p w14:paraId="3861659E" w14:textId="77777777" w:rsidR="00E24FB2" w:rsidRPr="00CC79BD" w:rsidRDefault="00E24FB2" w:rsidP="00E24FB2">
      <w:pPr>
        <w:overflowPunct w:val="0"/>
        <w:autoSpaceDE w:val="0"/>
        <w:autoSpaceDN w:val="0"/>
        <w:adjustRightInd w:val="0"/>
        <w:spacing w:after="0" w:line="240" w:lineRule="auto"/>
        <w:ind w:rightChars="-375" w:right="-825"/>
        <w:contextualSpacing/>
        <w:rPr>
          <w:rFonts w:ascii="Arial" w:eastAsia="Times New Roman" w:hAnsi="Arial" w:cs="Arial"/>
          <w:sz w:val="24"/>
          <w:szCs w:val="24"/>
          <w:lang w:eastAsia="en-GB"/>
        </w:rPr>
      </w:pPr>
      <w:r w:rsidRPr="00CC79BD">
        <w:rPr>
          <w:rFonts w:ascii="Arial" w:eastAsia="Times New Roman" w:hAnsi="Arial" w:cs="Arial"/>
          <w:sz w:val="24"/>
          <w:szCs w:val="24"/>
          <w:lang w:eastAsia="en-GB"/>
        </w:rPr>
        <w:t>Valid from:</w:t>
      </w:r>
      <w:r w:rsidRPr="00CC79BD">
        <w:rPr>
          <w:rFonts w:ascii="Arial" w:eastAsia="Times New Roman" w:hAnsi="Arial" w:cs="Arial"/>
          <w:sz w:val="24"/>
          <w:szCs w:val="24"/>
          <w:lang w:eastAsia="en-GB"/>
        </w:rPr>
        <w:tab/>
      </w:r>
      <w:r w:rsidRPr="00CC79BD">
        <w:rPr>
          <w:rFonts w:ascii="Arial" w:eastAsia="Times New Roman" w:hAnsi="Arial" w:cs="Arial"/>
          <w:sz w:val="24"/>
          <w:szCs w:val="24"/>
          <w:lang w:eastAsia="en-GB"/>
        </w:rPr>
        <w:tab/>
      </w:r>
      <w:r w:rsidR="00F45605">
        <w:rPr>
          <w:rFonts w:ascii="Arial" w:eastAsia="Times New Roman" w:hAnsi="Arial" w:cs="Arial"/>
          <w:sz w:val="24"/>
          <w:szCs w:val="24"/>
          <w:lang w:eastAsia="en-GB"/>
        </w:rPr>
        <w:t>21January</w:t>
      </w:r>
      <w:r w:rsidR="00292BBB">
        <w:rPr>
          <w:rFonts w:ascii="Arial" w:eastAsia="Times New Roman" w:hAnsi="Arial" w:cs="Arial"/>
          <w:sz w:val="24"/>
          <w:szCs w:val="24"/>
          <w:lang w:eastAsia="en-GB"/>
        </w:rPr>
        <w:t xml:space="preserve"> </w:t>
      </w:r>
    </w:p>
    <w:p w14:paraId="0B843758" w14:textId="77777777" w:rsidR="00E24FB2" w:rsidRPr="00CC79BD" w:rsidRDefault="00E24FB2" w:rsidP="00E24FB2">
      <w:pPr>
        <w:overflowPunct w:val="0"/>
        <w:autoSpaceDE w:val="0"/>
        <w:autoSpaceDN w:val="0"/>
        <w:adjustRightInd w:val="0"/>
        <w:spacing w:after="0" w:line="240" w:lineRule="auto"/>
        <w:ind w:rightChars="-375" w:right="-825"/>
        <w:contextualSpacing/>
        <w:rPr>
          <w:rFonts w:ascii="Arial" w:eastAsia="Times New Roman" w:hAnsi="Arial" w:cs="Arial"/>
          <w:sz w:val="24"/>
          <w:szCs w:val="24"/>
          <w:lang w:eastAsia="en-GB"/>
        </w:rPr>
      </w:pPr>
      <w:r w:rsidRPr="00CC79BD">
        <w:rPr>
          <w:rFonts w:ascii="Arial" w:eastAsia="Times New Roman" w:hAnsi="Arial" w:cs="Arial"/>
          <w:sz w:val="24"/>
          <w:szCs w:val="24"/>
          <w:lang w:eastAsia="en-GB"/>
        </w:rPr>
        <w:t>Review date:</w:t>
      </w:r>
      <w:r w:rsidRPr="00CC79BD">
        <w:rPr>
          <w:rFonts w:ascii="Arial" w:eastAsia="Times New Roman" w:hAnsi="Arial" w:cs="Arial"/>
          <w:sz w:val="24"/>
          <w:szCs w:val="24"/>
          <w:lang w:eastAsia="en-GB"/>
        </w:rPr>
        <w:tab/>
      </w:r>
      <w:r w:rsidRPr="00CC79BD">
        <w:rPr>
          <w:rFonts w:ascii="Arial" w:eastAsia="Times New Roman" w:hAnsi="Arial" w:cs="Arial"/>
          <w:sz w:val="24"/>
          <w:szCs w:val="24"/>
          <w:lang w:eastAsia="en-GB"/>
        </w:rPr>
        <w:tab/>
      </w:r>
      <w:r>
        <w:rPr>
          <w:rFonts w:ascii="Arial" w:eastAsia="Times New Roman" w:hAnsi="Arial" w:cs="Arial"/>
          <w:sz w:val="24"/>
          <w:szCs w:val="24"/>
          <w:lang w:eastAsia="en-GB"/>
        </w:rPr>
        <w:t>30 November 2021</w:t>
      </w:r>
    </w:p>
    <w:p w14:paraId="6A4BCF62" w14:textId="77777777" w:rsidR="00E24FB2" w:rsidRPr="00CC79BD" w:rsidRDefault="00E24FB2" w:rsidP="00E24FB2">
      <w:pPr>
        <w:overflowPunct w:val="0"/>
        <w:autoSpaceDE w:val="0"/>
        <w:autoSpaceDN w:val="0"/>
        <w:adjustRightInd w:val="0"/>
        <w:spacing w:after="0" w:line="240" w:lineRule="auto"/>
        <w:ind w:rightChars="-375" w:right="-825"/>
        <w:contextualSpacing/>
        <w:rPr>
          <w:rFonts w:ascii="Arial" w:eastAsia="Times New Roman" w:hAnsi="Arial" w:cs="Arial"/>
          <w:b/>
          <w:sz w:val="24"/>
          <w:szCs w:val="24"/>
          <w:lang w:eastAsia="en-GB"/>
        </w:rPr>
      </w:pPr>
      <w:r w:rsidRPr="00CC79BD">
        <w:rPr>
          <w:rFonts w:ascii="Arial" w:eastAsia="Times New Roman" w:hAnsi="Arial" w:cs="Arial"/>
          <w:sz w:val="24"/>
          <w:szCs w:val="24"/>
          <w:lang w:eastAsia="en-GB"/>
        </w:rPr>
        <w:t>Expiry date:</w:t>
      </w:r>
      <w:r w:rsidRPr="00CC79BD">
        <w:rPr>
          <w:rFonts w:ascii="Arial" w:eastAsia="Times New Roman" w:hAnsi="Arial" w:cs="Arial"/>
          <w:sz w:val="24"/>
          <w:szCs w:val="24"/>
          <w:lang w:eastAsia="en-GB"/>
        </w:rPr>
        <w:tab/>
      </w:r>
      <w:r w:rsidRPr="00CC79BD">
        <w:rPr>
          <w:rFonts w:ascii="Arial" w:eastAsia="Times New Roman" w:hAnsi="Arial" w:cs="Arial"/>
          <w:sz w:val="24"/>
          <w:szCs w:val="24"/>
          <w:lang w:eastAsia="en-GB"/>
        </w:rPr>
        <w:tab/>
      </w:r>
      <w:r>
        <w:rPr>
          <w:rFonts w:ascii="Arial" w:eastAsia="Times New Roman" w:hAnsi="Arial" w:cs="Arial"/>
          <w:sz w:val="24"/>
          <w:szCs w:val="24"/>
          <w:lang w:eastAsia="en-GB"/>
        </w:rPr>
        <w:t>31 December</w:t>
      </w:r>
      <w:r w:rsidRPr="00CC79BD">
        <w:rPr>
          <w:rFonts w:ascii="Arial" w:eastAsia="Times New Roman" w:hAnsi="Arial" w:cs="Arial"/>
          <w:sz w:val="24"/>
          <w:szCs w:val="24"/>
          <w:lang w:eastAsia="en-GB"/>
        </w:rPr>
        <w:t xml:space="preserve"> 2021</w:t>
      </w:r>
    </w:p>
    <w:p w14:paraId="795FC714" w14:textId="77777777" w:rsidR="009F5783" w:rsidRPr="00CC79BD" w:rsidRDefault="009F5783" w:rsidP="009F5783">
      <w:pPr>
        <w:overflowPunct w:val="0"/>
        <w:autoSpaceDE w:val="0"/>
        <w:autoSpaceDN w:val="0"/>
        <w:adjustRightInd w:val="0"/>
        <w:spacing w:after="0" w:line="240" w:lineRule="auto"/>
        <w:rPr>
          <w:rFonts w:ascii="Arial" w:eastAsia="Times New Roman" w:hAnsi="Arial" w:cs="Arial"/>
          <w:sz w:val="24"/>
          <w:szCs w:val="24"/>
          <w:lang w:eastAsia="en-GB"/>
        </w:rPr>
      </w:pPr>
    </w:p>
    <w:p w14:paraId="6A653A5B" w14:textId="77777777" w:rsidR="009A45B4" w:rsidRPr="00CC79BD" w:rsidRDefault="009A45B4" w:rsidP="009F5783">
      <w:pPr>
        <w:overflowPunct w:val="0"/>
        <w:autoSpaceDE w:val="0"/>
        <w:autoSpaceDN w:val="0"/>
        <w:adjustRightInd w:val="0"/>
        <w:spacing w:after="0" w:line="240" w:lineRule="auto"/>
        <w:rPr>
          <w:rFonts w:ascii="Arial" w:eastAsia="Times New Roman" w:hAnsi="Arial" w:cs="Arial"/>
          <w:b/>
          <w:sz w:val="24"/>
          <w:szCs w:val="24"/>
          <w:lang w:eastAsia="en-GB"/>
        </w:rPr>
      </w:pPr>
      <w:r w:rsidRPr="00CC79BD">
        <w:rPr>
          <w:rFonts w:ascii="Arial" w:eastAsia="Times New Roman" w:hAnsi="Arial" w:cs="Arial"/>
          <w:b/>
          <w:sz w:val="24"/>
          <w:szCs w:val="24"/>
          <w:lang w:eastAsia="en-GB"/>
        </w:rPr>
        <w:t>1. About the National Protocol</w:t>
      </w:r>
    </w:p>
    <w:p w14:paraId="487CAB12" w14:textId="77777777" w:rsidR="009A45B4" w:rsidRPr="00CC79BD" w:rsidRDefault="009A45B4" w:rsidP="009F5783">
      <w:pPr>
        <w:overflowPunct w:val="0"/>
        <w:autoSpaceDE w:val="0"/>
        <w:autoSpaceDN w:val="0"/>
        <w:adjustRightInd w:val="0"/>
        <w:spacing w:after="0" w:line="240" w:lineRule="auto"/>
        <w:rPr>
          <w:rFonts w:ascii="Arial" w:eastAsia="Times New Roman" w:hAnsi="Arial" w:cs="Arial"/>
          <w:sz w:val="24"/>
          <w:szCs w:val="24"/>
          <w:lang w:eastAsia="en-GB"/>
        </w:rPr>
      </w:pPr>
    </w:p>
    <w:p w14:paraId="71BBAE99" w14:textId="77777777" w:rsidR="009F5783" w:rsidRPr="00CC79BD" w:rsidRDefault="009F5783" w:rsidP="009F5783">
      <w:pPr>
        <w:overflowPunct w:val="0"/>
        <w:autoSpaceDE w:val="0"/>
        <w:autoSpaceDN w:val="0"/>
        <w:adjustRightInd w:val="0"/>
        <w:spacing w:after="0" w:line="240" w:lineRule="auto"/>
        <w:rPr>
          <w:rFonts w:ascii="Arial" w:eastAsia="Times New Roman" w:hAnsi="Arial" w:cs="Arial"/>
          <w:sz w:val="24"/>
          <w:szCs w:val="24"/>
          <w:lang w:eastAsia="en-GB"/>
        </w:rPr>
      </w:pPr>
      <w:r w:rsidRPr="00CC79BD">
        <w:rPr>
          <w:rFonts w:ascii="Arial" w:eastAsia="Times New Roman" w:hAnsi="Arial" w:cs="Arial"/>
          <w:sz w:val="24"/>
          <w:szCs w:val="24"/>
          <w:lang w:eastAsia="en-GB"/>
        </w:rPr>
        <w:t>This protocol is for the</w:t>
      </w:r>
      <w:r w:rsidR="00BD46D6">
        <w:rPr>
          <w:rFonts w:ascii="Arial" w:eastAsia="Times New Roman" w:hAnsi="Arial" w:cs="Arial"/>
          <w:sz w:val="24"/>
          <w:szCs w:val="24"/>
          <w:lang w:eastAsia="en-GB"/>
        </w:rPr>
        <w:t xml:space="preserve"> supply and</w:t>
      </w:r>
      <w:r w:rsidRPr="00CC79BD">
        <w:rPr>
          <w:rFonts w:ascii="Arial" w:eastAsia="Times New Roman" w:hAnsi="Arial" w:cs="Arial"/>
          <w:sz w:val="24"/>
          <w:szCs w:val="24"/>
          <w:lang w:eastAsia="en-GB"/>
        </w:rPr>
        <w:t xml:space="preserve"> administration of </w:t>
      </w:r>
      <w:r w:rsidR="00AD37A3" w:rsidRPr="00AD37A3">
        <w:rPr>
          <w:rFonts w:ascii="Arial" w:hAnsi="Arial" w:cs="Arial"/>
          <w:sz w:val="24"/>
          <w:szCs w:val="24"/>
        </w:rPr>
        <w:t>COVID-19 mRNA Vaccine BNT162b2 Pfizer/BioNTech</w:t>
      </w:r>
      <w:r w:rsidR="00AD37A3">
        <w:t xml:space="preserve"> </w:t>
      </w:r>
      <w:r w:rsidR="00AD37A3" w:rsidRPr="00CC79BD">
        <w:rPr>
          <w:rFonts w:ascii="Arial" w:eastAsia="Times New Roman" w:hAnsi="Arial" w:cs="Arial"/>
          <w:sz w:val="24"/>
          <w:szCs w:val="24"/>
          <w:lang w:eastAsia="en-GB"/>
        </w:rPr>
        <w:t xml:space="preserve"> </w:t>
      </w:r>
      <w:r w:rsidRPr="00CC79BD">
        <w:rPr>
          <w:rFonts w:ascii="Arial" w:eastAsia="Times New Roman" w:hAnsi="Arial" w:cs="Arial"/>
          <w:sz w:val="24"/>
          <w:szCs w:val="24"/>
          <w:lang w:eastAsia="en-GB"/>
        </w:rPr>
        <w:t>to individuals in accordance with the national COVID-19 vaccination programme.</w:t>
      </w:r>
      <w:r w:rsidR="00CC79BD" w:rsidRPr="00CC79BD">
        <w:rPr>
          <w:rFonts w:ascii="Arial" w:eastAsia="Times New Roman" w:hAnsi="Arial" w:cs="Arial"/>
          <w:sz w:val="24"/>
          <w:szCs w:val="24"/>
          <w:lang w:eastAsia="en-GB"/>
        </w:rPr>
        <w:t xml:space="preserve">  This protocol only allows administration</w:t>
      </w:r>
      <w:r w:rsidR="00CC79BD" w:rsidRPr="00CC79BD">
        <w:rPr>
          <w:rFonts w:ascii="Arial" w:hAnsi="Arial" w:cs="Arial"/>
          <w:sz w:val="24"/>
          <w:szCs w:val="24"/>
        </w:rPr>
        <w:t xml:space="preserve"> during or </w:t>
      </w:r>
      <w:r w:rsidR="005A1DB5">
        <w:rPr>
          <w:rFonts w:ascii="Arial" w:hAnsi="Arial" w:cs="Arial"/>
          <w:sz w:val="24"/>
          <w:szCs w:val="24"/>
        </w:rPr>
        <w:t xml:space="preserve">in </w:t>
      </w:r>
      <w:r w:rsidR="00CC79BD" w:rsidRPr="00CC79BD">
        <w:rPr>
          <w:rFonts w:ascii="Arial" w:hAnsi="Arial" w:cs="Arial"/>
          <w:sz w:val="24"/>
          <w:szCs w:val="24"/>
        </w:rPr>
        <w:t xml:space="preserve">anticipation of COVID-19 pandemic where the disease represents a serious risk or potentially serious risk to human health.  </w:t>
      </w:r>
    </w:p>
    <w:p w14:paraId="48261459" w14:textId="77777777" w:rsidR="009F5783" w:rsidRPr="00CC79BD" w:rsidRDefault="009F5783" w:rsidP="009F5783">
      <w:pPr>
        <w:overflowPunct w:val="0"/>
        <w:autoSpaceDE w:val="0"/>
        <w:autoSpaceDN w:val="0"/>
        <w:adjustRightInd w:val="0"/>
        <w:spacing w:before="120" w:after="0" w:line="240" w:lineRule="auto"/>
        <w:ind w:rightChars="34" w:right="75"/>
        <w:rPr>
          <w:rFonts w:ascii="Arial" w:eastAsia="Times New Roman" w:hAnsi="Arial" w:cs="Arial"/>
          <w:sz w:val="24"/>
          <w:szCs w:val="24"/>
          <w:lang w:eastAsia="en-GB"/>
        </w:rPr>
      </w:pPr>
      <w:r w:rsidRPr="00CC79BD">
        <w:rPr>
          <w:rFonts w:ascii="Arial" w:eastAsia="Times New Roman" w:hAnsi="Arial" w:cs="Arial"/>
          <w:sz w:val="24"/>
          <w:szCs w:val="24"/>
          <w:lang w:eastAsia="en-GB"/>
        </w:rPr>
        <w:t xml:space="preserve">This protocol is for the </w:t>
      </w:r>
      <w:r w:rsidR="00BD46D6">
        <w:rPr>
          <w:rFonts w:ascii="Arial" w:eastAsia="Times New Roman" w:hAnsi="Arial" w:cs="Arial"/>
          <w:sz w:val="24"/>
          <w:szCs w:val="24"/>
          <w:lang w:eastAsia="en-GB"/>
        </w:rPr>
        <w:t xml:space="preserve">supply and </w:t>
      </w:r>
      <w:r w:rsidRPr="00CC79BD">
        <w:rPr>
          <w:rFonts w:ascii="Arial" w:eastAsia="Times New Roman" w:hAnsi="Arial" w:cs="Arial"/>
          <w:sz w:val="24"/>
          <w:szCs w:val="24"/>
          <w:lang w:eastAsia="en-GB"/>
        </w:rPr>
        <w:t xml:space="preserve">administration of </w:t>
      </w:r>
      <w:r w:rsidR="00AD37A3" w:rsidRPr="00AD37A3">
        <w:rPr>
          <w:rFonts w:ascii="Arial" w:hAnsi="Arial" w:cs="Arial"/>
          <w:sz w:val="24"/>
          <w:szCs w:val="24"/>
        </w:rPr>
        <w:t>COVID-19 mRNA Vaccine BNT162b2 Pfizer/BioNTech</w:t>
      </w:r>
      <w:r w:rsidR="00AD37A3">
        <w:t xml:space="preserve"> </w:t>
      </w:r>
      <w:r w:rsidR="00AD37A3" w:rsidRPr="00CC79BD">
        <w:rPr>
          <w:rFonts w:ascii="Arial" w:eastAsia="Times New Roman" w:hAnsi="Arial" w:cs="Arial"/>
          <w:sz w:val="24"/>
          <w:szCs w:val="24"/>
          <w:lang w:eastAsia="en-GB"/>
        </w:rPr>
        <w:t xml:space="preserve"> </w:t>
      </w:r>
      <w:r w:rsidRPr="00CC79BD">
        <w:rPr>
          <w:rFonts w:ascii="Arial" w:eastAsia="Times New Roman" w:hAnsi="Arial" w:cs="Arial"/>
          <w:sz w:val="24"/>
          <w:szCs w:val="24"/>
          <w:lang w:eastAsia="en-GB"/>
        </w:rPr>
        <w:t xml:space="preserve">by appropriately trained persons in accordance with </w:t>
      </w:r>
      <w:hyperlink r:id="rId9" w:history="1">
        <w:r w:rsidRPr="00CC79BD">
          <w:rPr>
            <w:rFonts w:ascii="Arial" w:eastAsia="Times New Roman" w:hAnsi="Arial" w:cs="Arial"/>
            <w:color w:val="0000FF"/>
            <w:sz w:val="24"/>
            <w:szCs w:val="24"/>
            <w:u w:val="single"/>
            <w:lang w:eastAsia="en-GB"/>
          </w:rPr>
          <w:t>regulation 247A</w:t>
        </w:r>
      </w:hyperlink>
      <w:r w:rsidRPr="00CC79BD">
        <w:rPr>
          <w:rFonts w:ascii="Arial" w:eastAsia="Times New Roman" w:hAnsi="Arial" w:cs="Arial"/>
          <w:sz w:val="24"/>
          <w:szCs w:val="24"/>
          <w:lang w:eastAsia="en-GB"/>
        </w:rPr>
        <w:t xml:space="preserve"> of</w:t>
      </w:r>
      <w:r w:rsidR="00326CEB" w:rsidRPr="00CC79BD">
        <w:rPr>
          <w:rFonts w:ascii="Arial" w:eastAsia="Times New Roman" w:hAnsi="Arial" w:cs="Arial"/>
          <w:sz w:val="24"/>
          <w:szCs w:val="24"/>
          <w:lang w:eastAsia="en-GB"/>
        </w:rPr>
        <w:t xml:space="preserve"> the</w:t>
      </w:r>
      <w:r w:rsidRPr="00CC79BD">
        <w:rPr>
          <w:rFonts w:ascii="Arial" w:eastAsia="Times New Roman" w:hAnsi="Arial" w:cs="Arial"/>
          <w:sz w:val="24"/>
          <w:szCs w:val="24"/>
          <w:lang w:eastAsia="en-GB"/>
        </w:rPr>
        <w:t xml:space="preserve"> </w:t>
      </w:r>
      <w:hyperlink r:id="rId10" w:history="1">
        <w:r w:rsidRPr="00CC79BD">
          <w:rPr>
            <w:rFonts w:ascii="Arial" w:eastAsia="Times New Roman" w:hAnsi="Arial" w:cs="Arial"/>
            <w:color w:val="0000FF"/>
            <w:sz w:val="24"/>
            <w:szCs w:val="24"/>
            <w:u w:val="single"/>
            <w:lang w:eastAsia="en-GB"/>
          </w:rPr>
          <w:t>Human Medicines Regulation 2012</w:t>
        </w:r>
      </w:hyperlink>
      <w:r w:rsidRPr="00CC79BD">
        <w:rPr>
          <w:rFonts w:ascii="Arial" w:eastAsia="Times New Roman" w:hAnsi="Arial" w:cs="Arial"/>
          <w:sz w:val="24"/>
          <w:szCs w:val="24"/>
          <w:lang w:eastAsia="en-GB"/>
        </w:rPr>
        <w:t xml:space="preserve">, as </w:t>
      </w:r>
      <w:r w:rsidR="00CF61B5" w:rsidRPr="00CC79BD">
        <w:rPr>
          <w:rFonts w:ascii="Arial" w:eastAsia="Times New Roman" w:hAnsi="Arial" w:cs="Arial"/>
          <w:sz w:val="24"/>
          <w:szCs w:val="24"/>
          <w:lang w:eastAsia="en-GB"/>
        </w:rPr>
        <w:t>inserted</w:t>
      </w:r>
      <w:r w:rsidRPr="00CC79BD">
        <w:rPr>
          <w:rFonts w:ascii="Arial" w:eastAsia="Times New Roman" w:hAnsi="Arial" w:cs="Arial"/>
          <w:sz w:val="24"/>
          <w:szCs w:val="24"/>
          <w:lang w:eastAsia="en-GB"/>
        </w:rPr>
        <w:t xml:space="preserve"> by </w:t>
      </w:r>
      <w:hyperlink r:id="rId11" w:history="1">
        <w:r w:rsidRPr="00CC79BD">
          <w:rPr>
            <w:rFonts w:ascii="Arial" w:eastAsia="Times New Roman" w:hAnsi="Arial" w:cs="Arial"/>
            <w:color w:val="0000FF"/>
            <w:sz w:val="24"/>
            <w:szCs w:val="24"/>
            <w:u w:val="single"/>
            <w:lang w:eastAsia="en-GB"/>
          </w:rPr>
          <w:t>The Human Medicines (Coronavirus and Influenza) (Amendment) Regulations 2020</w:t>
        </w:r>
      </w:hyperlink>
    </w:p>
    <w:p w14:paraId="77E78268" w14:textId="77777777" w:rsidR="00646373" w:rsidRPr="00CC79BD" w:rsidRDefault="00646373" w:rsidP="00646373">
      <w:pPr>
        <w:tabs>
          <w:tab w:val="left" w:pos="7647"/>
        </w:tabs>
        <w:ind w:right="75"/>
        <w:rPr>
          <w:rFonts w:ascii="Arial" w:hAnsi="Arial" w:cs="Arial"/>
          <w:sz w:val="24"/>
          <w:szCs w:val="24"/>
        </w:rPr>
      </w:pPr>
    </w:p>
    <w:p w14:paraId="0782B517" w14:textId="77777777" w:rsidR="00646373" w:rsidRPr="00CC79BD" w:rsidRDefault="00646373" w:rsidP="00646373">
      <w:pPr>
        <w:tabs>
          <w:tab w:val="left" w:pos="7647"/>
        </w:tabs>
        <w:ind w:right="75"/>
        <w:rPr>
          <w:rFonts w:ascii="Arial" w:hAnsi="Arial" w:cs="Arial"/>
          <w:sz w:val="24"/>
          <w:szCs w:val="24"/>
        </w:rPr>
      </w:pPr>
      <w:r w:rsidRPr="00CC79BD">
        <w:rPr>
          <w:rFonts w:ascii="Arial" w:hAnsi="Arial" w:cs="Arial"/>
          <w:sz w:val="24"/>
          <w:szCs w:val="24"/>
        </w:rPr>
        <w:t>The Scottish Government has developed this protocol which has been approv</w:t>
      </w:r>
      <w:r w:rsidR="005A1DB5">
        <w:rPr>
          <w:rFonts w:ascii="Arial" w:hAnsi="Arial" w:cs="Arial"/>
          <w:sz w:val="24"/>
          <w:szCs w:val="24"/>
        </w:rPr>
        <w:t>ed by the Scottish Ministers to</w:t>
      </w:r>
      <w:r w:rsidRPr="00CC79BD">
        <w:rPr>
          <w:rFonts w:ascii="Arial" w:hAnsi="Arial" w:cs="Arial"/>
          <w:bCs/>
          <w:sz w:val="24"/>
          <w:szCs w:val="24"/>
        </w:rPr>
        <w:t xml:space="preserve"> facilitate the delivery of the national COVID-19 vaccination programme by </w:t>
      </w:r>
      <w:r w:rsidR="00BD46D6">
        <w:rPr>
          <w:rFonts w:ascii="Arial" w:hAnsi="Arial" w:cs="Arial"/>
          <w:bCs/>
          <w:sz w:val="24"/>
          <w:szCs w:val="24"/>
        </w:rPr>
        <w:t>Health Board</w:t>
      </w:r>
      <w:r w:rsidRPr="00CC79BD">
        <w:rPr>
          <w:rFonts w:ascii="Arial" w:hAnsi="Arial" w:cs="Arial"/>
          <w:bCs/>
          <w:sz w:val="24"/>
          <w:szCs w:val="24"/>
        </w:rPr>
        <w:t xml:space="preserve">s in Scotland and any organisation a </w:t>
      </w:r>
      <w:r w:rsidR="00BD46D6">
        <w:rPr>
          <w:rFonts w:ascii="Arial" w:hAnsi="Arial" w:cs="Arial"/>
          <w:bCs/>
          <w:sz w:val="24"/>
          <w:szCs w:val="24"/>
        </w:rPr>
        <w:t>Health Board</w:t>
      </w:r>
      <w:r w:rsidRPr="00CC79BD">
        <w:rPr>
          <w:rFonts w:ascii="Arial" w:hAnsi="Arial" w:cs="Arial"/>
          <w:bCs/>
          <w:sz w:val="24"/>
          <w:szCs w:val="24"/>
        </w:rPr>
        <w:t xml:space="preserve"> makes arrangements with to deliver </w:t>
      </w:r>
      <w:r w:rsidR="00770EAE" w:rsidRPr="00CC79BD">
        <w:rPr>
          <w:rFonts w:ascii="Arial" w:hAnsi="Arial" w:cs="Arial"/>
          <w:bCs/>
          <w:sz w:val="24"/>
          <w:szCs w:val="24"/>
        </w:rPr>
        <w:t xml:space="preserve">such </w:t>
      </w:r>
      <w:r w:rsidRPr="00CC79BD">
        <w:rPr>
          <w:rFonts w:ascii="Arial" w:hAnsi="Arial" w:cs="Arial"/>
          <w:bCs/>
          <w:sz w:val="24"/>
          <w:szCs w:val="24"/>
        </w:rPr>
        <w:t>services on its behalf, referred to as “the provider”</w:t>
      </w:r>
      <w:r w:rsidR="00CC79BD">
        <w:rPr>
          <w:rFonts w:ascii="Arial" w:hAnsi="Arial" w:cs="Arial"/>
          <w:bCs/>
          <w:sz w:val="24"/>
          <w:szCs w:val="24"/>
        </w:rPr>
        <w:t xml:space="preserve">.  Please note that in the context of this protocol, “the provider” means either the </w:t>
      </w:r>
      <w:r w:rsidR="00BD46D6">
        <w:rPr>
          <w:rFonts w:ascii="Arial" w:hAnsi="Arial" w:cs="Arial"/>
          <w:bCs/>
          <w:sz w:val="24"/>
          <w:szCs w:val="24"/>
        </w:rPr>
        <w:t>Health Board</w:t>
      </w:r>
      <w:r w:rsidR="00CC79BD">
        <w:rPr>
          <w:rFonts w:ascii="Arial" w:hAnsi="Arial" w:cs="Arial"/>
          <w:bCs/>
          <w:sz w:val="24"/>
          <w:szCs w:val="24"/>
        </w:rPr>
        <w:t xml:space="preserve"> or an organisation delivering services on behalf of a </w:t>
      </w:r>
      <w:r w:rsidR="00BD46D6">
        <w:rPr>
          <w:rFonts w:ascii="Arial" w:hAnsi="Arial" w:cs="Arial"/>
          <w:bCs/>
          <w:sz w:val="24"/>
          <w:szCs w:val="24"/>
        </w:rPr>
        <w:t>Health Board</w:t>
      </w:r>
      <w:r w:rsidRPr="00CC79BD">
        <w:rPr>
          <w:rFonts w:ascii="Arial" w:hAnsi="Arial" w:cs="Arial"/>
          <w:bCs/>
          <w:sz w:val="24"/>
          <w:szCs w:val="24"/>
        </w:rPr>
        <w:t xml:space="preserve">. </w:t>
      </w:r>
    </w:p>
    <w:p w14:paraId="3C69D6A6" w14:textId="77777777" w:rsidR="00E24FB2" w:rsidRPr="00CC79BD" w:rsidRDefault="00E24FB2" w:rsidP="00E24FB2">
      <w:pPr>
        <w:tabs>
          <w:tab w:val="left" w:pos="7647"/>
        </w:tabs>
        <w:ind w:right="75"/>
        <w:rPr>
          <w:rFonts w:ascii="Arial" w:hAnsi="Arial" w:cs="Arial"/>
          <w:sz w:val="24"/>
          <w:szCs w:val="24"/>
        </w:rPr>
      </w:pPr>
      <w:r w:rsidRPr="00CC79BD">
        <w:rPr>
          <w:rFonts w:ascii="Arial" w:hAnsi="Arial" w:cs="Arial"/>
          <w:sz w:val="24"/>
          <w:szCs w:val="24"/>
        </w:rPr>
        <w:t xml:space="preserve">This protocol may be followed wholly from patient assessment through to post-vaccination by a single person.  Alternatively, obtaining consent and patient assessment may be undertaken by a registered healthcare practitioner with the process of administration </w:t>
      </w:r>
      <w:r>
        <w:rPr>
          <w:rFonts w:ascii="Arial" w:hAnsi="Arial" w:cs="Arial"/>
          <w:sz w:val="24"/>
          <w:szCs w:val="24"/>
        </w:rPr>
        <w:t>undertaken by</w:t>
      </w:r>
      <w:r w:rsidRPr="00CC79BD">
        <w:rPr>
          <w:rFonts w:ascii="Arial" w:hAnsi="Arial" w:cs="Arial"/>
          <w:sz w:val="24"/>
          <w:szCs w:val="24"/>
        </w:rPr>
        <w:t xml:space="preserve"> a non-registered practitioner</w:t>
      </w:r>
      <w:r>
        <w:rPr>
          <w:rFonts w:ascii="Arial" w:hAnsi="Arial" w:cs="Arial"/>
          <w:sz w:val="24"/>
          <w:szCs w:val="24"/>
        </w:rPr>
        <w:t xml:space="preserve"> under clinical supervision</w:t>
      </w:r>
      <w:r w:rsidRPr="00CC79BD">
        <w:rPr>
          <w:rFonts w:ascii="Arial" w:hAnsi="Arial" w:cs="Arial"/>
          <w:sz w:val="24"/>
          <w:szCs w:val="24"/>
        </w:rPr>
        <w:t>.</w:t>
      </w:r>
    </w:p>
    <w:p w14:paraId="435C66FC" w14:textId="77777777" w:rsidR="00646373" w:rsidRPr="00CC79BD" w:rsidRDefault="00646373" w:rsidP="00646373">
      <w:pPr>
        <w:tabs>
          <w:tab w:val="left" w:pos="7647"/>
        </w:tabs>
        <w:ind w:right="75"/>
        <w:rPr>
          <w:rFonts w:ascii="Arial" w:hAnsi="Arial" w:cs="Arial"/>
          <w:sz w:val="24"/>
          <w:szCs w:val="24"/>
        </w:rPr>
      </w:pPr>
      <w:r w:rsidRPr="00CC79BD">
        <w:rPr>
          <w:rFonts w:ascii="Arial" w:hAnsi="Arial" w:cs="Arial"/>
          <w:sz w:val="24"/>
          <w:szCs w:val="24"/>
        </w:rPr>
        <w:t xml:space="preserve">Where multiple person models are used the provider must ensure that all elements of the protocol are complied with in the provision of vaccination to each patient. </w:t>
      </w:r>
    </w:p>
    <w:p w14:paraId="4AE7B2BB" w14:textId="77777777" w:rsidR="00646373" w:rsidRDefault="00646373" w:rsidP="00646373">
      <w:pPr>
        <w:tabs>
          <w:tab w:val="left" w:pos="7647"/>
        </w:tabs>
        <w:ind w:right="75"/>
        <w:rPr>
          <w:rFonts w:ascii="Arial" w:hAnsi="Arial" w:cs="Arial"/>
          <w:sz w:val="24"/>
          <w:szCs w:val="24"/>
        </w:rPr>
      </w:pPr>
      <w:r w:rsidRPr="00CC79BD">
        <w:rPr>
          <w:rFonts w:ascii="Arial" w:hAnsi="Arial" w:cs="Arial"/>
          <w:sz w:val="24"/>
          <w:szCs w:val="24"/>
        </w:rPr>
        <w:t xml:space="preserve">The provider is responsible for ensuring that persons are trained and competent to safely deliver the activity they are </w:t>
      </w:r>
      <w:r w:rsidR="00E1441D" w:rsidRPr="00CC79BD">
        <w:rPr>
          <w:rFonts w:ascii="Arial" w:hAnsi="Arial" w:cs="Arial"/>
          <w:sz w:val="24"/>
          <w:szCs w:val="24"/>
        </w:rPr>
        <w:t>authorised</w:t>
      </w:r>
      <w:r w:rsidRPr="00CC79BD">
        <w:rPr>
          <w:rFonts w:ascii="Arial" w:hAnsi="Arial" w:cs="Arial"/>
          <w:sz w:val="24"/>
          <w:szCs w:val="24"/>
        </w:rPr>
        <w:t xml:space="preserve"> to provide under this protocol. As a minimum, competence requirements stipulated in the protocol under ‘Characteristics of staff’ must be adhered to. </w:t>
      </w:r>
    </w:p>
    <w:p w14:paraId="35C079F7" w14:textId="77777777" w:rsidR="00E27718" w:rsidRDefault="00E27718" w:rsidP="00646373">
      <w:pPr>
        <w:tabs>
          <w:tab w:val="left" w:pos="7647"/>
        </w:tabs>
        <w:ind w:right="75"/>
        <w:rPr>
          <w:rFonts w:ascii="Arial" w:hAnsi="Arial" w:cs="Arial"/>
          <w:sz w:val="24"/>
          <w:szCs w:val="24"/>
        </w:rPr>
      </w:pPr>
    </w:p>
    <w:p w14:paraId="3413BDE4" w14:textId="77777777" w:rsidR="00D920F1" w:rsidRDefault="00E27718" w:rsidP="00D920F1">
      <w:pPr>
        <w:tabs>
          <w:tab w:val="left" w:pos="7647"/>
        </w:tabs>
        <w:ind w:right="75"/>
        <w:rPr>
          <w:rFonts w:ascii="Arial" w:hAnsi="Arial" w:cs="Arial"/>
          <w:sz w:val="24"/>
          <w:szCs w:val="24"/>
        </w:rPr>
      </w:pPr>
      <w:r>
        <w:rPr>
          <w:rFonts w:ascii="Arial" w:hAnsi="Arial" w:cs="Arial"/>
          <w:sz w:val="24"/>
          <w:szCs w:val="24"/>
        </w:rPr>
        <w:lastRenderedPageBreak/>
        <w:t>The provider must identify a clinical supervisor who has overall responsibility for provision of vaccination under the protocol at all times.  The</w:t>
      </w:r>
      <w:r w:rsidR="00D920F1">
        <w:rPr>
          <w:rFonts w:ascii="Arial" w:hAnsi="Arial" w:cs="Arial"/>
          <w:sz w:val="24"/>
          <w:szCs w:val="24"/>
        </w:rPr>
        <w:t xml:space="preserve"> clinical supervisor must be a registered healthcare professional trained and competent in all aspects of the protocol and provide clinical supervision for the overall provision of clin</w:t>
      </w:r>
      <w:r w:rsidR="00B23DBF">
        <w:rPr>
          <w:rFonts w:ascii="Arial" w:hAnsi="Arial" w:cs="Arial"/>
          <w:sz w:val="24"/>
          <w:szCs w:val="24"/>
        </w:rPr>
        <w:t>ical care provided under the</w:t>
      </w:r>
      <w:r w:rsidR="00D920F1">
        <w:rPr>
          <w:rFonts w:ascii="Arial" w:hAnsi="Arial" w:cs="Arial"/>
          <w:sz w:val="24"/>
          <w:szCs w:val="24"/>
        </w:rPr>
        <w:t xml:space="preserve"> protocol.</w:t>
      </w:r>
    </w:p>
    <w:p w14:paraId="7468A067" w14:textId="77777777" w:rsidR="00E24FB2" w:rsidRDefault="00E27718" w:rsidP="00E24FB2">
      <w:pPr>
        <w:tabs>
          <w:tab w:val="left" w:pos="7647"/>
        </w:tabs>
        <w:ind w:right="75"/>
        <w:rPr>
          <w:rFonts w:ascii="Arial" w:hAnsi="Arial" w:cs="Arial"/>
          <w:sz w:val="24"/>
          <w:szCs w:val="24"/>
        </w:rPr>
      </w:pPr>
      <w:r>
        <w:rPr>
          <w:rFonts w:ascii="Arial" w:hAnsi="Arial" w:cs="Arial"/>
          <w:sz w:val="24"/>
          <w:szCs w:val="24"/>
        </w:rPr>
        <w:t xml:space="preserve">The </w:t>
      </w:r>
      <w:r w:rsidR="00E24FB2">
        <w:rPr>
          <w:rFonts w:ascii="Arial" w:hAnsi="Arial" w:cs="Arial"/>
          <w:sz w:val="24"/>
          <w:szCs w:val="24"/>
        </w:rPr>
        <w:t xml:space="preserve">clinical supervisor must be identifiable to service users. Whenever the protocol is used, the name of the clinical supervisor taking responsibility and all of the people working under different activity stages of the protocol must be recorded for the session using the schedule in Annex C or maintaining an equivalent electronic record.  The clinical supervisor has ultimate responsibility for safe care being provided under the terms of the protocol. Persons working under the protocol may be supported by additional registered healthcare professionals, but the clinical supervisor retains responsibility. </w:t>
      </w:r>
    </w:p>
    <w:p w14:paraId="6CDE81AE" w14:textId="77777777" w:rsidR="00E24FB2" w:rsidRPr="00CC79BD" w:rsidRDefault="00E24FB2" w:rsidP="00E24FB2">
      <w:pPr>
        <w:tabs>
          <w:tab w:val="left" w:pos="7647"/>
        </w:tabs>
        <w:ind w:right="75"/>
        <w:rPr>
          <w:rFonts w:ascii="Arial" w:hAnsi="Arial" w:cs="Arial"/>
          <w:sz w:val="24"/>
          <w:szCs w:val="24"/>
        </w:rPr>
      </w:pPr>
      <w:r>
        <w:rPr>
          <w:rFonts w:ascii="Arial" w:hAnsi="Arial" w:cs="Arial"/>
          <w:sz w:val="24"/>
          <w:szCs w:val="24"/>
        </w:rPr>
        <w:t>Persons working to the protocol must understand who the clinical supervisor for their practice is at any time and can only work under their authority. The clinical supervisor may withdraw this authority for all persons  or individual persons at any time and has authority to stop and start service provision under the protocol as necessary. All members of staff have a responsibility to, and should, report immediately to the clinical supervisor any concerns they have about working under the protocol in general or about a specific individual, process, issue or event.</w:t>
      </w:r>
    </w:p>
    <w:p w14:paraId="2F21F091" w14:textId="77777777" w:rsidR="00D23D5D" w:rsidRDefault="00D23D5D" w:rsidP="00D23D5D">
      <w:pPr>
        <w:keepNext/>
        <w:tabs>
          <w:tab w:val="left" w:pos="7647"/>
        </w:tabs>
        <w:ind w:right="75"/>
        <w:outlineLvl w:val="3"/>
        <w:rPr>
          <w:rFonts w:ascii="Arial" w:hAnsi="Arial" w:cs="Arial"/>
          <w:color w:val="0000FF"/>
          <w:sz w:val="24"/>
          <w:szCs w:val="24"/>
          <w:u w:val="single"/>
        </w:rPr>
      </w:pPr>
      <w:r w:rsidRPr="00CC79BD">
        <w:rPr>
          <w:rFonts w:ascii="Arial" w:hAnsi="Arial" w:cs="Arial"/>
          <w:sz w:val="24"/>
          <w:szCs w:val="24"/>
        </w:rPr>
        <w:t xml:space="preserve">Individual practitioners must be </w:t>
      </w:r>
      <w:r>
        <w:rPr>
          <w:rFonts w:ascii="Arial" w:hAnsi="Arial" w:cs="Arial"/>
          <w:sz w:val="24"/>
          <w:szCs w:val="24"/>
        </w:rPr>
        <w:t>designated</w:t>
      </w:r>
      <w:r w:rsidRPr="00CC79BD">
        <w:rPr>
          <w:rFonts w:ascii="Arial" w:hAnsi="Arial" w:cs="Arial"/>
          <w:sz w:val="24"/>
          <w:szCs w:val="24"/>
        </w:rPr>
        <w:t xml:space="preserve"> by name to work to this protocol.</w:t>
      </w:r>
      <w:r>
        <w:rPr>
          <w:rFonts w:ascii="Arial" w:hAnsi="Arial" w:cs="Arial"/>
          <w:sz w:val="24"/>
          <w:szCs w:val="24"/>
        </w:rPr>
        <w:t xml:space="preserve">  </w:t>
      </w:r>
      <w:r w:rsidRPr="00CC79BD">
        <w:rPr>
          <w:rFonts w:ascii="Arial" w:hAnsi="Arial" w:cs="Arial"/>
          <w:sz w:val="24"/>
          <w:szCs w:val="24"/>
        </w:rPr>
        <w:t xml:space="preserve">Individuals working in accordance with this protocol must ensure they meet the staff characteristics for the activity they are undertaking, make a declaration of competence and be authorised in writing by the provider. This can be done by completing </w:t>
      </w:r>
      <w:r>
        <w:rPr>
          <w:rFonts w:ascii="Arial" w:hAnsi="Arial" w:cs="Arial"/>
          <w:sz w:val="24"/>
          <w:szCs w:val="24"/>
        </w:rPr>
        <w:t xml:space="preserve">Annex B </w:t>
      </w:r>
      <w:r w:rsidRPr="00CC79BD">
        <w:rPr>
          <w:rFonts w:ascii="Arial" w:hAnsi="Arial" w:cs="Arial"/>
          <w:sz w:val="24"/>
          <w:szCs w:val="24"/>
        </w:rPr>
        <w:t>of this protocol or maintaining an equivalent electronic record.</w:t>
      </w:r>
    </w:p>
    <w:p w14:paraId="4416A3FF" w14:textId="77777777" w:rsidR="00E24FB2" w:rsidRDefault="00E24FB2" w:rsidP="00E24FB2">
      <w:pPr>
        <w:keepNext/>
        <w:tabs>
          <w:tab w:val="left" w:pos="7647"/>
        </w:tabs>
        <w:ind w:right="75"/>
        <w:outlineLvl w:val="3"/>
        <w:rPr>
          <w:rFonts w:ascii="Arial" w:hAnsi="Arial" w:cs="Arial"/>
          <w:sz w:val="24"/>
          <w:szCs w:val="24"/>
        </w:rPr>
      </w:pPr>
      <w:r w:rsidRPr="00CC79BD">
        <w:rPr>
          <w:rFonts w:ascii="Arial" w:hAnsi="Arial" w:cs="Arial"/>
          <w:sz w:val="24"/>
          <w:szCs w:val="24"/>
        </w:rPr>
        <w:t xml:space="preserve">It is </w:t>
      </w:r>
      <w:r>
        <w:rPr>
          <w:rFonts w:ascii="Arial" w:hAnsi="Arial" w:cs="Arial"/>
          <w:sz w:val="24"/>
          <w:szCs w:val="24"/>
        </w:rPr>
        <w:t>a Health Board’</w:t>
      </w:r>
      <w:r w:rsidRPr="00CC79BD">
        <w:rPr>
          <w:rFonts w:ascii="Arial" w:hAnsi="Arial" w:cs="Arial"/>
          <w:sz w:val="24"/>
          <w:szCs w:val="24"/>
        </w:rPr>
        <w:t>s responsibility to adhere to this protocol</w:t>
      </w:r>
      <w:r>
        <w:rPr>
          <w:rFonts w:ascii="Arial" w:hAnsi="Arial" w:cs="Arial"/>
          <w:sz w:val="24"/>
          <w:szCs w:val="24"/>
        </w:rPr>
        <w:t xml:space="preserve">. Where the Health Board is not the provider, it is the Health Board’s responsibility to ensure that the provider adheres to this protocol. </w:t>
      </w:r>
      <w:r w:rsidRPr="00CC79BD">
        <w:rPr>
          <w:rFonts w:ascii="Arial" w:hAnsi="Arial" w:cs="Arial"/>
          <w:sz w:val="24"/>
          <w:szCs w:val="24"/>
        </w:rPr>
        <w:t xml:space="preserve">The final authorised copy of this protocol should be kept, by </w:t>
      </w:r>
      <w:r>
        <w:rPr>
          <w:rFonts w:ascii="Arial" w:hAnsi="Arial" w:cs="Arial"/>
          <w:sz w:val="24"/>
          <w:szCs w:val="24"/>
        </w:rPr>
        <w:t>Health Board</w:t>
      </w:r>
      <w:r w:rsidRPr="00CC79BD">
        <w:rPr>
          <w:rFonts w:ascii="Arial" w:hAnsi="Arial" w:cs="Arial"/>
          <w:sz w:val="24"/>
          <w:szCs w:val="24"/>
        </w:rPr>
        <w:t>s for 8 years after the protocol expires. Pro</w:t>
      </w:r>
      <w:r>
        <w:rPr>
          <w:rFonts w:ascii="Arial" w:hAnsi="Arial" w:cs="Arial"/>
          <w:sz w:val="24"/>
          <w:szCs w:val="24"/>
        </w:rPr>
        <w:t>v</w:t>
      </w:r>
      <w:r w:rsidRPr="00CC79BD">
        <w:rPr>
          <w:rFonts w:ascii="Arial" w:hAnsi="Arial" w:cs="Arial"/>
          <w:sz w:val="24"/>
          <w:szCs w:val="24"/>
        </w:rPr>
        <w:t xml:space="preserve">iders adopting authorised versions of this protocol should also retain copies, along with the details of those authorised to work under it, for 8 years after the protocol expires. </w:t>
      </w:r>
    </w:p>
    <w:p w14:paraId="339E45C1" w14:textId="77777777" w:rsidR="00E24FB2" w:rsidRPr="00CC79BD" w:rsidRDefault="00E24FB2" w:rsidP="00E24FB2">
      <w:pPr>
        <w:keepNext/>
        <w:tabs>
          <w:tab w:val="left" w:pos="7647"/>
        </w:tabs>
        <w:ind w:right="75"/>
        <w:outlineLvl w:val="3"/>
        <w:rPr>
          <w:rFonts w:ascii="Arial" w:hAnsi="Arial" w:cs="Arial"/>
          <w:sz w:val="24"/>
          <w:szCs w:val="24"/>
        </w:rPr>
      </w:pPr>
      <w:r w:rsidRPr="00CC79BD">
        <w:rPr>
          <w:rFonts w:ascii="Arial" w:hAnsi="Arial" w:cs="Arial"/>
          <w:bCs/>
          <w:sz w:val="24"/>
          <w:szCs w:val="24"/>
        </w:rPr>
        <w:t xml:space="preserve">Providers must check that they are using the current version of this protocol. Amendments may become necessary prior to the published expiry date. Current versions of protocols authorised by </w:t>
      </w:r>
      <w:r>
        <w:rPr>
          <w:rFonts w:ascii="Arial" w:hAnsi="Arial" w:cs="Arial"/>
          <w:bCs/>
          <w:sz w:val="24"/>
          <w:szCs w:val="24"/>
        </w:rPr>
        <w:t xml:space="preserve">the </w:t>
      </w:r>
      <w:r w:rsidRPr="00CC79BD">
        <w:rPr>
          <w:rFonts w:ascii="Arial" w:hAnsi="Arial" w:cs="Arial"/>
          <w:bCs/>
          <w:sz w:val="24"/>
          <w:szCs w:val="24"/>
        </w:rPr>
        <w:t xml:space="preserve">Scottish Ministers in accordance with regulation 247A of the Human Medicines Regulations 2012 can be found </w:t>
      </w:r>
      <w:r w:rsidR="00DB606D">
        <w:rPr>
          <w:rFonts w:ascii="Arial" w:hAnsi="Arial" w:cs="Arial"/>
          <w:bCs/>
          <w:sz w:val="24"/>
          <w:szCs w:val="24"/>
        </w:rPr>
        <w:t>on the Scottish Government website: (tbc)</w:t>
      </w:r>
    </w:p>
    <w:p w14:paraId="59E6C7F7" w14:textId="77777777" w:rsidR="00707DE8" w:rsidRPr="00DB606D" w:rsidRDefault="00E24FB2" w:rsidP="00DB606D">
      <w:pPr>
        <w:keepNext/>
        <w:tabs>
          <w:tab w:val="left" w:pos="7647"/>
        </w:tabs>
        <w:ind w:right="75"/>
        <w:outlineLvl w:val="3"/>
        <w:rPr>
          <w:rFonts w:ascii="Arial" w:eastAsia="Times New Roman" w:hAnsi="Arial" w:cs="Arial"/>
          <w:color w:val="FF0000"/>
          <w:sz w:val="24"/>
          <w:szCs w:val="24"/>
          <w:lang w:eastAsia="en-GB"/>
        </w:rPr>
      </w:pPr>
      <w:r w:rsidRPr="00CC79BD">
        <w:rPr>
          <w:rFonts w:ascii="Arial" w:hAnsi="Arial" w:cs="Arial"/>
          <w:bCs/>
          <w:sz w:val="24"/>
          <w:szCs w:val="24"/>
        </w:rPr>
        <w:t>A</w:t>
      </w:r>
      <w:r w:rsidRPr="00CC79BD">
        <w:rPr>
          <w:rFonts w:ascii="Arial" w:hAnsi="Arial" w:cs="Arial"/>
          <w:color w:val="000000"/>
          <w:sz w:val="24"/>
          <w:szCs w:val="24"/>
        </w:rPr>
        <w:t>ny concerns regarding the content of this protocol should be addressed to:</w:t>
      </w:r>
      <w:r w:rsidRPr="00CC79BD">
        <w:rPr>
          <w:rFonts w:ascii="Arial" w:hAnsi="Arial" w:cs="Arial"/>
          <w:sz w:val="24"/>
          <w:szCs w:val="24"/>
        </w:rPr>
        <w:t xml:space="preserve"> </w:t>
      </w:r>
      <w:hyperlink r:id="rId12" w:history="1">
        <w:r w:rsidR="00707DE8" w:rsidRPr="00CC7D89">
          <w:rPr>
            <w:rStyle w:val="Hyperlink"/>
            <w:rFonts w:ascii="Arial" w:hAnsi="Arial" w:cs="Arial"/>
            <w:sz w:val="24"/>
            <w:szCs w:val="24"/>
          </w:rPr>
          <w:t>VaccinationsDelivery@gov.scot</w:t>
        </w:r>
      </w:hyperlink>
      <w:bookmarkEnd w:id="1"/>
      <w:r w:rsidR="00707DE8">
        <w:rPr>
          <w:rFonts w:ascii="Arial" w:hAnsi="Arial" w:cs="Arial"/>
          <w:b/>
          <w:sz w:val="24"/>
          <w:szCs w:val="24"/>
          <w:lang w:val="en-US"/>
        </w:rPr>
        <w:br w:type="page"/>
      </w:r>
    </w:p>
    <w:p w14:paraId="05923A2E" w14:textId="77777777" w:rsidR="001415FB" w:rsidRPr="00CC79BD" w:rsidRDefault="009A45B4" w:rsidP="001415FB">
      <w:pPr>
        <w:rPr>
          <w:rFonts w:ascii="Arial" w:hAnsi="Arial" w:cs="Arial"/>
          <w:b/>
          <w:sz w:val="24"/>
          <w:szCs w:val="24"/>
        </w:rPr>
      </w:pPr>
      <w:r w:rsidRPr="00CC79BD">
        <w:rPr>
          <w:rFonts w:ascii="Arial" w:hAnsi="Arial" w:cs="Arial"/>
          <w:b/>
          <w:sz w:val="24"/>
          <w:szCs w:val="24"/>
          <w:lang w:val="en-US"/>
        </w:rPr>
        <w:lastRenderedPageBreak/>
        <w:t xml:space="preserve">2. </w:t>
      </w:r>
      <w:r w:rsidR="001415FB" w:rsidRPr="00CC79BD">
        <w:rPr>
          <w:rFonts w:ascii="Arial" w:hAnsi="Arial" w:cs="Arial"/>
          <w:b/>
          <w:sz w:val="24"/>
          <w:szCs w:val="24"/>
          <w:lang w:val="en-US"/>
        </w:rPr>
        <w:t>Approval and Clinical Authorisation</w:t>
      </w:r>
    </w:p>
    <w:p w14:paraId="55CEBC51" w14:textId="77777777" w:rsidR="001415FB" w:rsidRPr="00CC79BD" w:rsidRDefault="001415FB" w:rsidP="001415FB">
      <w:pPr>
        <w:rPr>
          <w:rFonts w:ascii="Arial" w:hAnsi="Arial" w:cs="Arial"/>
          <w:sz w:val="24"/>
          <w:szCs w:val="24"/>
        </w:rPr>
      </w:pPr>
      <w:r w:rsidRPr="00CC79BD">
        <w:rPr>
          <w:rFonts w:ascii="Arial" w:hAnsi="Arial" w:cs="Arial"/>
          <w:sz w:val="24"/>
          <w:szCs w:val="24"/>
        </w:rPr>
        <w:t xml:space="preserve">This protocol is not legally valid, in accordance with </w:t>
      </w:r>
      <w:hyperlink r:id="rId13" w:history="1">
        <w:r w:rsidRPr="00CC79BD">
          <w:rPr>
            <w:rFonts w:ascii="Arial" w:hAnsi="Arial" w:cs="Arial"/>
            <w:color w:val="0000FF"/>
            <w:sz w:val="24"/>
            <w:szCs w:val="24"/>
            <w:u w:val="single"/>
          </w:rPr>
          <w:t>regulation 247A</w:t>
        </w:r>
      </w:hyperlink>
      <w:r w:rsidRPr="00CC79BD">
        <w:rPr>
          <w:rFonts w:ascii="Arial" w:hAnsi="Arial" w:cs="Arial"/>
          <w:sz w:val="24"/>
          <w:szCs w:val="24"/>
        </w:rPr>
        <w:t xml:space="preserve"> of </w:t>
      </w:r>
      <w:hyperlink r:id="rId14" w:history="1">
        <w:r w:rsidRPr="00CC79BD">
          <w:rPr>
            <w:rFonts w:ascii="Arial" w:hAnsi="Arial" w:cs="Arial"/>
            <w:color w:val="0000FF"/>
            <w:sz w:val="24"/>
            <w:szCs w:val="24"/>
            <w:u w:val="single"/>
          </w:rPr>
          <w:t>Human Medicines Regulation 2012</w:t>
        </w:r>
      </w:hyperlink>
      <w:r w:rsidRPr="00CC79BD">
        <w:rPr>
          <w:rFonts w:ascii="Arial" w:hAnsi="Arial" w:cs="Arial"/>
          <w:sz w:val="24"/>
          <w:szCs w:val="24"/>
        </w:rPr>
        <w:t xml:space="preserve">, as </w:t>
      </w:r>
      <w:r w:rsidR="00CF61B5" w:rsidRPr="00CC79BD">
        <w:rPr>
          <w:rFonts w:ascii="Arial" w:hAnsi="Arial" w:cs="Arial"/>
          <w:sz w:val="24"/>
          <w:szCs w:val="24"/>
        </w:rPr>
        <w:t>inserted</w:t>
      </w:r>
      <w:r w:rsidRPr="00CC79BD">
        <w:rPr>
          <w:rFonts w:ascii="Arial" w:hAnsi="Arial" w:cs="Arial"/>
          <w:sz w:val="24"/>
          <w:szCs w:val="24"/>
        </w:rPr>
        <w:t xml:space="preserve"> by </w:t>
      </w:r>
      <w:hyperlink r:id="rId15" w:history="1">
        <w:r w:rsidRPr="00CC79BD">
          <w:rPr>
            <w:rFonts w:ascii="Arial" w:hAnsi="Arial" w:cs="Arial"/>
            <w:color w:val="0000FF"/>
            <w:sz w:val="24"/>
            <w:szCs w:val="24"/>
            <w:u w:val="single"/>
          </w:rPr>
          <w:t>The Human Medicines (Coronavirus and Influenza) (Amendment) Regulations 2020</w:t>
        </w:r>
      </w:hyperlink>
      <w:r w:rsidRPr="00CC79BD">
        <w:rPr>
          <w:rFonts w:ascii="Arial" w:hAnsi="Arial" w:cs="Arial"/>
          <w:sz w:val="24"/>
          <w:szCs w:val="24"/>
        </w:rPr>
        <w:t>, until approved by the Scottish Ministers.</w:t>
      </w:r>
    </w:p>
    <w:p w14:paraId="771B65CF" w14:textId="77777777" w:rsidR="001415FB" w:rsidRPr="00CC79BD" w:rsidRDefault="00DB606D" w:rsidP="001415FB">
      <w:pPr>
        <w:rPr>
          <w:rFonts w:ascii="Arial" w:hAnsi="Arial" w:cs="Arial"/>
          <w:sz w:val="24"/>
          <w:szCs w:val="24"/>
        </w:rPr>
      </w:pPr>
      <w:r w:rsidRPr="00DB606D">
        <w:rPr>
          <w:rFonts w:ascii="Arial" w:hAnsi="Arial" w:cs="Arial"/>
          <w:sz w:val="24"/>
          <w:szCs w:val="24"/>
        </w:rPr>
        <w:t>On 21 January 2021</w:t>
      </w:r>
      <w:r w:rsidR="001415FB" w:rsidRPr="00DB606D">
        <w:rPr>
          <w:rFonts w:ascii="Arial" w:hAnsi="Arial" w:cs="Arial"/>
          <w:sz w:val="24"/>
          <w:szCs w:val="24"/>
        </w:rPr>
        <w:t xml:space="preserve"> the Scottish Ministers, approved this protocol in accordance with</w:t>
      </w:r>
      <w:r w:rsidR="001415FB" w:rsidRPr="00CC79BD">
        <w:rPr>
          <w:rFonts w:ascii="Arial" w:hAnsi="Arial" w:cs="Arial"/>
          <w:sz w:val="24"/>
          <w:szCs w:val="24"/>
        </w:rPr>
        <w:t xml:space="preserve"> </w:t>
      </w:r>
      <w:hyperlink r:id="rId16" w:history="1">
        <w:r w:rsidR="001415FB" w:rsidRPr="00CC79BD">
          <w:rPr>
            <w:rFonts w:ascii="Arial" w:hAnsi="Arial" w:cs="Arial"/>
            <w:color w:val="0000FF"/>
            <w:sz w:val="24"/>
            <w:szCs w:val="24"/>
            <w:u w:val="single"/>
          </w:rPr>
          <w:t>regulation 247A</w:t>
        </w:r>
      </w:hyperlink>
      <w:r w:rsidR="001415FB" w:rsidRPr="00CC79BD">
        <w:rPr>
          <w:rFonts w:ascii="Arial" w:hAnsi="Arial" w:cs="Arial"/>
          <w:sz w:val="24"/>
          <w:szCs w:val="24"/>
        </w:rPr>
        <w:t xml:space="preserve"> of Human Medicines Regulation 2012. </w:t>
      </w:r>
      <w:r w:rsidR="00E1441D" w:rsidRPr="00CC79BD">
        <w:rPr>
          <w:rFonts w:ascii="Arial" w:hAnsi="Arial" w:cs="Arial"/>
          <w:sz w:val="24"/>
          <w:szCs w:val="24"/>
        </w:rPr>
        <w:t xml:space="preserve"> Approval of clinical information in Annex A is via the Scottish Government Chief Medical Officer, Chief Pharmaceutical Officer and Chief Nursing Officer</w:t>
      </w:r>
      <w:r w:rsidR="001415FB" w:rsidRPr="00CC79BD">
        <w:rPr>
          <w:rFonts w:ascii="Arial" w:hAnsi="Arial" w:cs="Arial"/>
          <w:sz w:val="24"/>
          <w:szCs w:val="24"/>
        </w:rPr>
        <w:t xml:space="preserve"> for the delivery of the national COVID-19 vaccination programme, with defined limitations to authorisation that may be updated from time to time as may be required.</w:t>
      </w:r>
    </w:p>
    <w:p w14:paraId="711DB619" w14:textId="77777777" w:rsidR="001415FB" w:rsidRPr="00CC79BD" w:rsidRDefault="001415FB" w:rsidP="001415FB">
      <w:pPr>
        <w:spacing w:after="0" w:line="240" w:lineRule="auto"/>
        <w:rPr>
          <w:rFonts w:ascii="Arial" w:eastAsia="Times New Roman" w:hAnsi="Arial" w:cs="Arial"/>
          <w:sz w:val="24"/>
          <w:szCs w:val="24"/>
        </w:rPr>
      </w:pPr>
    </w:p>
    <w:tbl>
      <w:tblPr>
        <w:tblStyle w:val="TableGrid"/>
        <w:tblW w:w="0" w:type="auto"/>
        <w:tblInd w:w="108" w:type="dxa"/>
        <w:tblLook w:val="04A0" w:firstRow="1" w:lastRow="0" w:firstColumn="1" w:lastColumn="0" w:noHBand="0" w:noVBand="1"/>
      </w:tblPr>
      <w:tblGrid>
        <w:gridCol w:w="8908"/>
      </w:tblGrid>
      <w:tr w:rsidR="001415FB" w:rsidRPr="00CC79BD" w14:paraId="76950720" w14:textId="77777777" w:rsidTr="0048495A">
        <w:tc>
          <w:tcPr>
            <w:tcW w:w="9923" w:type="dxa"/>
            <w:tcBorders>
              <w:top w:val="single" w:sz="4" w:space="0" w:color="auto"/>
              <w:left w:val="single" w:sz="4" w:space="0" w:color="auto"/>
              <w:bottom w:val="single" w:sz="4" w:space="0" w:color="auto"/>
              <w:right w:val="single" w:sz="4" w:space="0" w:color="auto"/>
            </w:tcBorders>
            <w:shd w:val="clear" w:color="auto" w:fill="F2F2F2"/>
            <w:hideMark/>
          </w:tcPr>
          <w:p w14:paraId="1BDFDFAF" w14:textId="77777777" w:rsidR="001415FB" w:rsidRPr="00CC79BD" w:rsidRDefault="001415FB" w:rsidP="0048495A">
            <w:pPr>
              <w:rPr>
                <w:rFonts w:eastAsia="Times New Roman" w:cs="Arial"/>
                <w:b/>
                <w:sz w:val="24"/>
                <w:szCs w:val="24"/>
              </w:rPr>
            </w:pPr>
            <w:r w:rsidRPr="00CC79BD">
              <w:rPr>
                <w:rFonts w:eastAsia="Times New Roman" w:cs="Arial"/>
                <w:sz w:val="24"/>
                <w:szCs w:val="24"/>
              </w:rPr>
              <w:t>Authorised for use by the following organisations and/or services</w:t>
            </w:r>
          </w:p>
        </w:tc>
      </w:tr>
      <w:tr w:rsidR="001415FB" w:rsidRPr="00CC79BD" w14:paraId="54F29B8D" w14:textId="77777777" w:rsidTr="0048495A">
        <w:tc>
          <w:tcPr>
            <w:tcW w:w="9923" w:type="dxa"/>
            <w:tcBorders>
              <w:top w:val="single" w:sz="4" w:space="0" w:color="auto"/>
              <w:left w:val="single" w:sz="4" w:space="0" w:color="auto"/>
              <w:bottom w:val="single" w:sz="4" w:space="0" w:color="auto"/>
              <w:right w:val="single" w:sz="4" w:space="0" w:color="auto"/>
            </w:tcBorders>
          </w:tcPr>
          <w:p w14:paraId="4E3F4C90" w14:textId="77777777" w:rsidR="001415FB" w:rsidRPr="00CC79BD" w:rsidRDefault="001415FB" w:rsidP="0048495A">
            <w:pPr>
              <w:rPr>
                <w:rFonts w:eastAsia="Times New Roman" w:cs="Arial"/>
                <w:sz w:val="24"/>
                <w:szCs w:val="24"/>
              </w:rPr>
            </w:pPr>
          </w:p>
          <w:p w14:paraId="6D69068D" w14:textId="77777777" w:rsidR="001415FB" w:rsidRPr="00CC79BD" w:rsidRDefault="001415FB" w:rsidP="0048495A">
            <w:pPr>
              <w:jc w:val="left"/>
              <w:rPr>
                <w:rFonts w:eastAsia="Times New Roman" w:cs="Arial"/>
                <w:sz w:val="24"/>
                <w:szCs w:val="24"/>
              </w:rPr>
            </w:pPr>
            <w:r w:rsidRPr="00CC79BD">
              <w:rPr>
                <w:rFonts w:eastAsia="Times New Roman" w:cs="Arial"/>
                <w:sz w:val="24"/>
                <w:szCs w:val="24"/>
              </w:rPr>
              <w:t xml:space="preserve">All </w:t>
            </w:r>
            <w:r w:rsidR="00BD46D6">
              <w:rPr>
                <w:rFonts w:eastAsia="Times New Roman" w:cs="Arial"/>
                <w:sz w:val="24"/>
                <w:szCs w:val="24"/>
              </w:rPr>
              <w:t>Health Board</w:t>
            </w:r>
            <w:r w:rsidRPr="00CC79BD">
              <w:rPr>
                <w:rFonts w:eastAsia="Times New Roman" w:cs="Arial"/>
                <w:sz w:val="24"/>
                <w:szCs w:val="24"/>
              </w:rPr>
              <w:t xml:space="preserve">s in Scotland, and organisations </w:t>
            </w:r>
            <w:r w:rsidR="00BD46D6">
              <w:rPr>
                <w:rFonts w:eastAsia="Times New Roman" w:cs="Arial"/>
                <w:sz w:val="24"/>
                <w:szCs w:val="24"/>
              </w:rPr>
              <w:t>Health Board</w:t>
            </w:r>
            <w:r w:rsidRPr="00CC79BD">
              <w:rPr>
                <w:rFonts w:eastAsia="Times New Roman" w:cs="Arial"/>
                <w:sz w:val="24"/>
                <w:szCs w:val="24"/>
              </w:rPr>
              <w:t xml:space="preserve">s make arrangements with to deliver services on their behalf. </w:t>
            </w:r>
          </w:p>
          <w:p w14:paraId="712D520B" w14:textId="77777777" w:rsidR="001415FB" w:rsidRPr="00CC79BD" w:rsidRDefault="001415FB" w:rsidP="0048495A">
            <w:pPr>
              <w:jc w:val="left"/>
              <w:rPr>
                <w:rFonts w:eastAsia="Times New Roman" w:cs="Arial"/>
                <w:sz w:val="24"/>
                <w:szCs w:val="24"/>
              </w:rPr>
            </w:pPr>
          </w:p>
          <w:p w14:paraId="72B175E4" w14:textId="77777777" w:rsidR="001415FB" w:rsidRPr="00CC79BD" w:rsidRDefault="001415FB" w:rsidP="0048495A">
            <w:pPr>
              <w:rPr>
                <w:rFonts w:eastAsia="Times New Roman" w:cs="Arial"/>
                <w:sz w:val="24"/>
                <w:szCs w:val="24"/>
              </w:rPr>
            </w:pPr>
          </w:p>
          <w:p w14:paraId="1D049C73" w14:textId="77777777" w:rsidR="001415FB" w:rsidRPr="00CC79BD" w:rsidRDefault="001415FB" w:rsidP="0048495A">
            <w:pPr>
              <w:rPr>
                <w:rFonts w:eastAsia="Times New Roman" w:cs="Arial"/>
                <w:sz w:val="24"/>
                <w:szCs w:val="24"/>
              </w:rPr>
            </w:pPr>
          </w:p>
        </w:tc>
      </w:tr>
      <w:tr w:rsidR="001415FB" w:rsidRPr="00CC79BD" w14:paraId="78881778" w14:textId="77777777" w:rsidTr="0048495A">
        <w:tc>
          <w:tcPr>
            <w:tcW w:w="9923" w:type="dxa"/>
            <w:tcBorders>
              <w:top w:val="single" w:sz="4" w:space="0" w:color="auto"/>
              <w:left w:val="single" w:sz="4" w:space="0" w:color="auto"/>
              <w:bottom w:val="single" w:sz="4" w:space="0" w:color="auto"/>
              <w:right w:val="single" w:sz="4" w:space="0" w:color="auto"/>
            </w:tcBorders>
            <w:shd w:val="clear" w:color="auto" w:fill="F2F2F2"/>
            <w:hideMark/>
          </w:tcPr>
          <w:p w14:paraId="7A465DC4" w14:textId="77777777" w:rsidR="001415FB" w:rsidRPr="00CC79BD" w:rsidRDefault="001415FB" w:rsidP="0048495A">
            <w:pPr>
              <w:rPr>
                <w:rFonts w:eastAsia="Times New Roman" w:cs="Arial"/>
                <w:sz w:val="24"/>
                <w:szCs w:val="24"/>
              </w:rPr>
            </w:pPr>
            <w:bookmarkStart w:id="2" w:name="LimitationsToAuthorisation"/>
            <w:bookmarkEnd w:id="2"/>
            <w:r w:rsidRPr="00CC79BD">
              <w:rPr>
                <w:rFonts w:eastAsia="Times New Roman" w:cs="Arial"/>
                <w:sz w:val="24"/>
                <w:szCs w:val="24"/>
              </w:rPr>
              <w:t>Limitations to authorisation</w:t>
            </w:r>
          </w:p>
        </w:tc>
      </w:tr>
      <w:tr w:rsidR="001415FB" w:rsidRPr="00CC79BD" w14:paraId="6853BC4D" w14:textId="77777777" w:rsidTr="0048495A">
        <w:trPr>
          <w:trHeight w:val="1561"/>
        </w:trPr>
        <w:tc>
          <w:tcPr>
            <w:tcW w:w="9923" w:type="dxa"/>
            <w:tcBorders>
              <w:top w:val="single" w:sz="4" w:space="0" w:color="auto"/>
              <w:left w:val="single" w:sz="4" w:space="0" w:color="auto"/>
              <w:bottom w:val="single" w:sz="4" w:space="0" w:color="auto"/>
              <w:right w:val="single" w:sz="4" w:space="0" w:color="auto"/>
            </w:tcBorders>
          </w:tcPr>
          <w:p w14:paraId="17F94CC2" w14:textId="77777777" w:rsidR="001415FB" w:rsidRPr="00CC79BD" w:rsidRDefault="001415FB" w:rsidP="0048495A">
            <w:pPr>
              <w:jc w:val="left"/>
              <w:rPr>
                <w:rFonts w:eastAsia="Times New Roman" w:cs="Arial"/>
                <w:sz w:val="24"/>
                <w:szCs w:val="24"/>
              </w:rPr>
            </w:pPr>
          </w:p>
          <w:p w14:paraId="5202732F" w14:textId="77777777" w:rsidR="001415FB" w:rsidRPr="00CC79BD" w:rsidRDefault="001415FB" w:rsidP="0048495A">
            <w:pPr>
              <w:jc w:val="left"/>
              <w:rPr>
                <w:rFonts w:eastAsia="Times New Roman" w:cs="Arial"/>
                <w:sz w:val="24"/>
                <w:szCs w:val="24"/>
              </w:rPr>
            </w:pPr>
            <w:r w:rsidRPr="00CC79BD">
              <w:rPr>
                <w:rFonts w:eastAsia="Times New Roman" w:cs="Arial"/>
                <w:sz w:val="24"/>
                <w:szCs w:val="24"/>
              </w:rPr>
              <w:t>This authorisation applies to</w:t>
            </w:r>
            <w:r w:rsidR="00BD46D6">
              <w:rPr>
                <w:rFonts w:eastAsia="Times New Roman" w:cs="Arial"/>
                <w:sz w:val="24"/>
                <w:szCs w:val="24"/>
              </w:rPr>
              <w:t xml:space="preserve"> the supply and</w:t>
            </w:r>
            <w:r w:rsidRPr="00CC79BD">
              <w:rPr>
                <w:rFonts w:eastAsia="Times New Roman" w:cs="Arial"/>
                <w:sz w:val="24"/>
                <w:szCs w:val="24"/>
              </w:rPr>
              <w:t xml:space="preserve"> administration of the vaccine(s) only under the conditions set out in the authorisation for supply or license set out by the Medicines and Healthcare products Regulatory Agency</w:t>
            </w:r>
          </w:p>
          <w:p w14:paraId="4309C191" w14:textId="77777777" w:rsidR="001415FB" w:rsidRPr="00CC79BD" w:rsidRDefault="001415FB" w:rsidP="0048495A">
            <w:pPr>
              <w:jc w:val="left"/>
              <w:rPr>
                <w:rFonts w:eastAsia="Times New Roman" w:cs="Arial"/>
                <w:sz w:val="24"/>
                <w:szCs w:val="24"/>
              </w:rPr>
            </w:pPr>
          </w:p>
        </w:tc>
      </w:tr>
    </w:tbl>
    <w:p w14:paraId="6F6BD400" w14:textId="77777777" w:rsidR="001415FB" w:rsidRPr="00CC79BD" w:rsidRDefault="001415FB" w:rsidP="001415FB">
      <w:pPr>
        <w:spacing w:after="0" w:line="240" w:lineRule="auto"/>
        <w:rPr>
          <w:rFonts w:ascii="Arial" w:eastAsia="Times New Roman" w:hAnsi="Arial" w:cs="Arial"/>
          <w:b/>
          <w:color w:val="FF0000"/>
          <w:sz w:val="24"/>
          <w:szCs w:val="24"/>
        </w:rPr>
      </w:pPr>
    </w:p>
    <w:tbl>
      <w:tblPr>
        <w:tblStyle w:val="TableGrid"/>
        <w:tblW w:w="0" w:type="auto"/>
        <w:tblInd w:w="108" w:type="dxa"/>
        <w:tblLook w:val="04A0" w:firstRow="1" w:lastRow="0" w:firstColumn="1" w:lastColumn="0" w:noHBand="0" w:noVBand="1"/>
      </w:tblPr>
      <w:tblGrid>
        <w:gridCol w:w="2891"/>
        <w:gridCol w:w="2179"/>
        <w:gridCol w:w="2160"/>
        <w:gridCol w:w="1678"/>
      </w:tblGrid>
      <w:tr w:rsidR="001415FB" w:rsidRPr="00CC79BD" w14:paraId="1D37F074" w14:textId="77777777" w:rsidTr="00DB606D">
        <w:tc>
          <w:tcPr>
            <w:tcW w:w="8908"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16B0F1C6" w14:textId="77777777" w:rsidR="001415FB" w:rsidRPr="00CC79BD" w:rsidRDefault="001415FB" w:rsidP="0048495A">
            <w:pPr>
              <w:rPr>
                <w:rFonts w:eastAsia="Times New Roman" w:cs="Arial"/>
                <w:b/>
                <w:sz w:val="24"/>
                <w:szCs w:val="24"/>
              </w:rPr>
            </w:pPr>
            <w:r w:rsidRPr="00CC79BD">
              <w:rPr>
                <w:rFonts w:eastAsia="Times New Roman" w:cs="Arial"/>
                <w:b/>
                <w:sz w:val="24"/>
                <w:szCs w:val="24"/>
              </w:rPr>
              <w:t>Clinical authorisation</w:t>
            </w:r>
          </w:p>
        </w:tc>
      </w:tr>
      <w:tr w:rsidR="001415FB" w:rsidRPr="00CC79BD" w14:paraId="58004E3C" w14:textId="77777777" w:rsidTr="00DB606D">
        <w:tc>
          <w:tcPr>
            <w:tcW w:w="2891" w:type="dxa"/>
            <w:tcBorders>
              <w:top w:val="single" w:sz="4" w:space="0" w:color="auto"/>
              <w:left w:val="single" w:sz="4" w:space="0" w:color="auto"/>
              <w:bottom w:val="single" w:sz="4" w:space="0" w:color="auto"/>
              <w:right w:val="single" w:sz="4" w:space="0" w:color="auto"/>
            </w:tcBorders>
            <w:shd w:val="clear" w:color="auto" w:fill="E7E6E6"/>
            <w:hideMark/>
          </w:tcPr>
          <w:p w14:paraId="06105C79" w14:textId="77777777" w:rsidR="001415FB" w:rsidRPr="00CC79BD" w:rsidRDefault="001415FB" w:rsidP="0048495A">
            <w:pPr>
              <w:rPr>
                <w:rFonts w:eastAsia="Times New Roman" w:cs="Arial"/>
                <w:b/>
                <w:sz w:val="24"/>
                <w:szCs w:val="24"/>
              </w:rPr>
            </w:pPr>
            <w:r w:rsidRPr="00CC79BD">
              <w:rPr>
                <w:rFonts w:eastAsia="Times New Roman" w:cs="Arial"/>
                <w:b/>
                <w:sz w:val="24"/>
                <w:szCs w:val="24"/>
              </w:rPr>
              <w:t>Role</w:t>
            </w:r>
          </w:p>
        </w:tc>
        <w:tc>
          <w:tcPr>
            <w:tcW w:w="2179" w:type="dxa"/>
            <w:tcBorders>
              <w:top w:val="single" w:sz="4" w:space="0" w:color="auto"/>
              <w:left w:val="single" w:sz="4" w:space="0" w:color="auto"/>
              <w:bottom w:val="single" w:sz="4" w:space="0" w:color="auto"/>
              <w:right w:val="single" w:sz="4" w:space="0" w:color="auto"/>
            </w:tcBorders>
            <w:shd w:val="clear" w:color="auto" w:fill="E7E6E6"/>
            <w:hideMark/>
          </w:tcPr>
          <w:p w14:paraId="3CB848A0" w14:textId="77777777" w:rsidR="001415FB" w:rsidRPr="00CC79BD" w:rsidRDefault="001415FB" w:rsidP="0048495A">
            <w:pPr>
              <w:rPr>
                <w:rFonts w:eastAsia="Times New Roman" w:cs="Arial"/>
                <w:b/>
                <w:sz w:val="24"/>
                <w:szCs w:val="24"/>
              </w:rPr>
            </w:pPr>
            <w:r w:rsidRPr="00CC79BD">
              <w:rPr>
                <w:rFonts w:eastAsia="Times New Roman" w:cs="Arial"/>
                <w:b/>
                <w:sz w:val="24"/>
                <w:szCs w:val="24"/>
              </w:rPr>
              <w:t xml:space="preserve">Name </w:t>
            </w:r>
          </w:p>
        </w:tc>
        <w:tc>
          <w:tcPr>
            <w:tcW w:w="2160" w:type="dxa"/>
            <w:tcBorders>
              <w:top w:val="single" w:sz="4" w:space="0" w:color="auto"/>
              <w:left w:val="single" w:sz="4" w:space="0" w:color="auto"/>
              <w:bottom w:val="single" w:sz="4" w:space="0" w:color="auto"/>
              <w:right w:val="single" w:sz="4" w:space="0" w:color="auto"/>
            </w:tcBorders>
            <w:shd w:val="clear" w:color="auto" w:fill="E7E6E6"/>
            <w:hideMark/>
          </w:tcPr>
          <w:p w14:paraId="04C70496" w14:textId="77777777" w:rsidR="001415FB" w:rsidRPr="00CC79BD" w:rsidRDefault="001415FB" w:rsidP="0048495A">
            <w:pPr>
              <w:rPr>
                <w:rFonts w:eastAsia="Times New Roman" w:cs="Arial"/>
                <w:b/>
                <w:sz w:val="24"/>
                <w:szCs w:val="24"/>
              </w:rPr>
            </w:pPr>
            <w:r w:rsidRPr="00CC79BD">
              <w:rPr>
                <w:rFonts w:eastAsia="Times New Roman" w:cs="Arial"/>
                <w:b/>
                <w:sz w:val="24"/>
                <w:szCs w:val="24"/>
              </w:rPr>
              <w:t>Sign</w:t>
            </w:r>
          </w:p>
        </w:tc>
        <w:tc>
          <w:tcPr>
            <w:tcW w:w="1678" w:type="dxa"/>
            <w:tcBorders>
              <w:top w:val="single" w:sz="4" w:space="0" w:color="auto"/>
              <w:left w:val="single" w:sz="4" w:space="0" w:color="auto"/>
              <w:bottom w:val="single" w:sz="4" w:space="0" w:color="auto"/>
              <w:right w:val="single" w:sz="4" w:space="0" w:color="auto"/>
            </w:tcBorders>
            <w:shd w:val="clear" w:color="auto" w:fill="E7E6E6"/>
            <w:hideMark/>
          </w:tcPr>
          <w:p w14:paraId="62079587" w14:textId="77777777" w:rsidR="001415FB" w:rsidRPr="00CC79BD" w:rsidRDefault="001415FB" w:rsidP="0048495A">
            <w:pPr>
              <w:rPr>
                <w:rFonts w:eastAsia="Times New Roman" w:cs="Arial"/>
                <w:b/>
                <w:sz w:val="24"/>
                <w:szCs w:val="24"/>
              </w:rPr>
            </w:pPr>
            <w:r w:rsidRPr="00CC79BD">
              <w:rPr>
                <w:rFonts w:eastAsia="Times New Roman" w:cs="Arial"/>
                <w:b/>
                <w:sz w:val="24"/>
                <w:szCs w:val="24"/>
              </w:rPr>
              <w:t>Date</w:t>
            </w:r>
          </w:p>
        </w:tc>
      </w:tr>
      <w:tr w:rsidR="00DB606D" w:rsidRPr="00CC79BD" w14:paraId="688EBFD3" w14:textId="77777777" w:rsidTr="00DB606D">
        <w:tc>
          <w:tcPr>
            <w:tcW w:w="2891" w:type="dxa"/>
            <w:tcBorders>
              <w:top w:val="single" w:sz="4" w:space="0" w:color="auto"/>
              <w:left w:val="single" w:sz="4" w:space="0" w:color="auto"/>
              <w:bottom w:val="single" w:sz="4" w:space="0" w:color="auto"/>
              <w:right w:val="single" w:sz="4" w:space="0" w:color="auto"/>
            </w:tcBorders>
            <w:hideMark/>
          </w:tcPr>
          <w:p w14:paraId="1EC626BF" w14:textId="77777777" w:rsidR="00DB606D" w:rsidRPr="00DB606D" w:rsidRDefault="00DB606D" w:rsidP="00DB606D">
            <w:pPr>
              <w:rPr>
                <w:rFonts w:eastAsia="Times New Roman" w:cs="Arial"/>
                <w:sz w:val="24"/>
                <w:szCs w:val="24"/>
              </w:rPr>
            </w:pPr>
            <w:r w:rsidRPr="00DB606D">
              <w:rPr>
                <w:rFonts w:eastAsia="Times New Roman" w:cs="Arial"/>
                <w:sz w:val="24"/>
                <w:szCs w:val="24"/>
              </w:rPr>
              <w:t>CMO</w:t>
            </w:r>
          </w:p>
        </w:tc>
        <w:tc>
          <w:tcPr>
            <w:tcW w:w="2179" w:type="dxa"/>
            <w:tcBorders>
              <w:top w:val="single" w:sz="4" w:space="0" w:color="auto"/>
              <w:left w:val="single" w:sz="4" w:space="0" w:color="auto"/>
              <w:bottom w:val="single" w:sz="4" w:space="0" w:color="auto"/>
              <w:right w:val="single" w:sz="4" w:space="0" w:color="auto"/>
            </w:tcBorders>
            <w:hideMark/>
          </w:tcPr>
          <w:p w14:paraId="32C923C9" w14:textId="77777777" w:rsidR="00DB606D" w:rsidRPr="00F6564B" w:rsidRDefault="00DB606D" w:rsidP="00DB606D">
            <w:pPr>
              <w:jc w:val="both"/>
              <w:rPr>
                <w:rFonts w:eastAsia="Times New Roman" w:cs="Arial"/>
                <w:b/>
                <w:sz w:val="24"/>
                <w:szCs w:val="24"/>
              </w:rPr>
            </w:pPr>
            <w:r w:rsidRPr="00F6564B">
              <w:rPr>
                <w:rFonts w:eastAsia="Times New Roman" w:cs="Arial"/>
                <w:b/>
                <w:sz w:val="24"/>
                <w:szCs w:val="24"/>
              </w:rPr>
              <w:t xml:space="preserve">Gregor Smith                      </w:t>
            </w:r>
          </w:p>
        </w:tc>
        <w:tc>
          <w:tcPr>
            <w:tcW w:w="2160" w:type="dxa"/>
            <w:tcBorders>
              <w:top w:val="single" w:sz="4" w:space="0" w:color="auto"/>
              <w:left w:val="single" w:sz="4" w:space="0" w:color="auto"/>
              <w:bottom w:val="single" w:sz="4" w:space="0" w:color="auto"/>
              <w:right w:val="single" w:sz="4" w:space="0" w:color="auto"/>
            </w:tcBorders>
            <w:hideMark/>
          </w:tcPr>
          <w:p w14:paraId="696EAAE9" w14:textId="77777777" w:rsidR="00DB606D" w:rsidRPr="00AC0899" w:rsidRDefault="00DB606D" w:rsidP="00DB606D">
            <w:pPr>
              <w:rPr>
                <w:rFonts w:eastAsia="Times New Roman" w:cs="Arial"/>
                <w:b/>
                <w:sz w:val="24"/>
                <w:szCs w:val="24"/>
                <w:highlight w:val="yellow"/>
              </w:rPr>
            </w:pPr>
            <w:r w:rsidRPr="00AC0899">
              <w:rPr>
                <w:rFonts w:eastAsia="Times New Roman" w:cs="Arial"/>
                <w:b/>
                <w:sz w:val="24"/>
                <w:szCs w:val="24"/>
                <w:highlight w:val="yellow"/>
              </w:rPr>
              <w:t xml:space="preserve">                             </w:t>
            </w:r>
          </w:p>
        </w:tc>
        <w:tc>
          <w:tcPr>
            <w:tcW w:w="1678" w:type="dxa"/>
            <w:tcBorders>
              <w:top w:val="single" w:sz="4" w:space="0" w:color="auto"/>
              <w:left w:val="single" w:sz="4" w:space="0" w:color="auto"/>
              <w:bottom w:val="single" w:sz="4" w:space="0" w:color="auto"/>
              <w:right w:val="single" w:sz="4" w:space="0" w:color="auto"/>
            </w:tcBorders>
            <w:hideMark/>
          </w:tcPr>
          <w:p w14:paraId="559FA521" w14:textId="77777777" w:rsidR="00DB606D" w:rsidRPr="00AC0899" w:rsidRDefault="00DB606D" w:rsidP="00DB606D">
            <w:pPr>
              <w:rPr>
                <w:rFonts w:eastAsia="Times New Roman" w:cs="Arial"/>
                <w:b/>
                <w:sz w:val="24"/>
                <w:szCs w:val="24"/>
                <w:highlight w:val="yellow"/>
              </w:rPr>
            </w:pPr>
            <w:r w:rsidRPr="00DB606D">
              <w:rPr>
                <w:rFonts w:eastAsia="Times New Roman" w:cs="Arial"/>
                <w:b/>
                <w:sz w:val="24"/>
                <w:szCs w:val="24"/>
              </w:rPr>
              <w:t xml:space="preserve">19/01/21           </w:t>
            </w:r>
          </w:p>
        </w:tc>
      </w:tr>
      <w:tr w:rsidR="00DB606D" w:rsidRPr="00CC79BD" w14:paraId="783EE99A" w14:textId="77777777" w:rsidTr="00DB606D">
        <w:tc>
          <w:tcPr>
            <w:tcW w:w="2891" w:type="dxa"/>
            <w:tcBorders>
              <w:top w:val="single" w:sz="4" w:space="0" w:color="auto"/>
              <w:left w:val="single" w:sz="4" w:space="0" w:color="auto"/>
              <w:bottom w:val="single" w:sz="4" w:space="0" w:color="auto"/>
              <w:right w:val="single" w:sz="4" w:space="0" w:color="auto"/>
            </w:tcBorders>
          </w:tcPr>
          <w:p w14:paraId="4761DD84" w14:textId="77777777" w:rsidR="00DB606D" w:rsidRPr="00DB606D" w:rsidRDefault="00DB606D" w:rsidP="00DB606D">
            <w:pPr>
              <w:rPr>
                <w:rFonts w:eastAsia="Times New Roman" w:cs="Arial"/>
                <w:sz w:val="24"/>
                <w:szCs w:val="24"/>
              </w:rPr>
            </w:pPr>
            <w:r w:rsidRPr="00DB606D">
              <w:rPr>
                <w:rFonts w:eastAsia="Times New Roman" w:cs="Arial"/>
                <w:sz w:val="24"/>
                <w:szCs w:val="24"/>
              </w:rPr>
              <w:t>CNO</w:t>
            </w:r>
          </w:p>
        </w:tc>
        <w:tc>
          <w:tcPr>
            <w:tcW w:w="2179" w:type="dxa"/>
            <w:tcBorders>
              <w:top w:val="single" w:sz="4" w:space="0" w:color="auto"/>
              <w:left w:val="single" w:sz="4" w:space="0" w:color="auto"/>
              <w:bottom w:val="single" w:sz="4" w:space="0" w:color="auto"/>
              <w:right w:val="single" w:sz="4" w:space="0" w:color="auto"/>
            </w:tcBorders>
          </w:tcPr>
          <w:p w14:paraId="107BDEF5" w14:textId="77777777" w:rsidR="00DB606D" w:rsidRPr="00F6564B" w:rsidRDefault="00DB606D" w:rsidP="00DB606D">
            <w:pPr>
              <w:jc w:val="both"/>
              <w:rPr>
                <w:rFonts w:eastAsia="Times New Roman" w:cs="Arial"/>
                <w:b/>
                <w:sz w:val="24"/>
                <w:szCs w:val="24"/>
              </w:rPr>
            </w:pPr>
            <w:r w:rsidRPr="00F6564B">
              <w:rPr>
                <w:rFonts w:eastAsia="Times New Roman" w:cs="Arial"/>
                <w:b/>
                <w:sz w:val="24"/>
                <w:szCs w:val="24"/>
              </w:rPr>
              <w:t>Fiona Mcqueen</w:t>
            </w:r>
          </w:p>
        </w:tc>
        <w:tc>
          <w:tcPr>
            <w:tcW w:w="2160" w:type="dxa"/>
            <w:tcBorders>
              <w:top w:val="single" w:sz="4" w:space="0" w:color="auto"/>
              <w:left w:val="single" w:sz="4" w:space="0" w:color="auto"/>
              <w:bottom w:val="single" w:sz="4" w:space="0" w:color="auto"/>
              <w:right w:val="single" w:sz="4" w:space="0" w:color="auto"/>
            </w:tcBorders>
          </w:tcPr>
          <w:p w14:paraId="7B2513D9" w14:textId="77777777" w:rsidR="00DB606D" w:rsidRPr="00AC0899" w:rsidRDefault="00DB606D" w:rsidP="00DB606D">
            <w:pPr>
              <w:rPr>
                <w:rFonts w:eastAsia="Times New Roman" w:cs="Arial"/>
                <w:b/>
                <w:sz w:val="24"/>
                <w:szCs w:val="24"/>
                <w:highlight w:val="yellow"/>
              </w:rPr>
            </w:pPr>
          </w:p>
        </w:tc>
        <w:tc>
          <w:tcPr>
            <w:tcW w:w="1678" w:type="dxa"/>
            <w:tcBorders>
              <w:top w:val="single" w:sz="4" w:space="0" w:color="auto"/>
              <w:left w:val="single" w:sz="4" w:space="0" w:color="auto"/>
              <w:bottom w:val="single" w:sz="4" w:space="0" w:color="auto"/>
              <w:right w:val="single" w:sz="4" w:space="0" w:color="auto"/>
            </w:tcBorders>
          </w:tcPr>
          <w:p w14:paraId="58776A89" w14:textId="77777777" w:rsidR="00DB606D" w:rsidRPr="00AC0899" w:rsidRDefault="00DB606D" w:rsidP="00DB606D">
            <w:pPr>
              <w:rPr>
                <w:rFonts w:eastAsia="Times New Roman" w:cs="Arial"/>
                <w:b/>
                <w:sz w:val="24"/>
                <w:szCs w:val="24"/>
                <w:highlight w:val="yellow"/>
              </w:rPr>
            </w:pPr>
            <w:r w:rsidRPr="00DB606D">
              <w:rPr>
                <w:rFonts w:eastAsia="Times New Roman" w:cs="Arial"/>
                <w:b/>
                <w:sz w:val="24"/>
                <w:szCs w:val="24"/>
              </w:rPr>
              <w:t xml:space="preserve">19/01/21           </w:t>
            </w:r>
          </w:p>
        </w:tc>
      </w:tr>
      <w:tr w:rsidR="00DB606D" w:rsidRPr="00CC79BD" w14:paraId="5550D0CF" w14:textId="77777777" w:rsidTr="00DB606D">
        <w:tc>
          <w:tcPr>
            <w:tcW w:w="2891" w:type="dxa"/>
            <w:tcBorders>
              <w:top w:val="single" w:sz="4" w:space="0" w:color="auto"/>
              <w:left w:val="single" w:sz="4" w:space="0" w:color="auto"/>
              <w:bottom w:val="single" w:sz="4" w:space="0" w:color="auto"/>
              <w:right w:val="single" w:sz="4" w:space="0" w:color="auto"/>
            </w:tcBorders>
          </w:tcPr>
          <w:p w14:paraId="20949F00" w14:textId="77777777" w:rsidR="00DB606D" w:rsidRPr="00DB606D" w:rsidRDefault="00DB606D" w:rsidP="00DB606D">
            <w:pPr>
              <w:rPr>
                <w:rFonts w:eastAsia="Times New Roman" w:cs="Arial"/>
                <w:sz w:val="24"/>
                <w:szCs w:val="24"/>
              </w:rPr>
            </w:pPr>
            <w:r w:rsidRPr="00DB606D">
              <w:rPr>
                <w:rFonts w:eastAsia="Times New Roman" w:cs="Arial"/>
                <w:sz w:val="24"/>
                <w:szCs w:val="24"/>
              </w:rPr>
              <w:t>CPO</w:t>
            </w:r>
          </w:p>
        </w:tc>
        <w:tc>
          <w:tcPr>
            <w:tcW w:w="2179" w:type="dxa"/>
            <w:tcBorders>
              <w:top w:val="single" w:sz="4" w:space="0" w:color="auto"/>
              <w:left w:val="single" w:sz="4" w:space="0" w:color="auto"/>
              <w:bottom w:val="single" w:sz="4" w:space="0" w:color="auto"/>
              <w:right w:val="single" w:sz="4" w:space="0" w:color="auto"/>
            </w:tcBorders>
          </w:tcPr>
          <w:p w14:paraId="00A485C4" w14:textId="77777777" w:rsidR="00DB606D" w:rsidRPr="00F6564B" w:rsidRDefault="00DB606D" w:rsidP="00DB606D">
            <w:pPr>
              <w:jc w:val="both"/>
              <w:rPr>
                <w:rFonts w:eastAsia="Times New Roman" w:cs="Arial"/>
                <w:b/>
                <w:sz w:val="24"/>
                <w:szCs w:val="24"/>
              </w:rPr>
            </w:pPr>
            <w:r w:rsidRPr="00F6564B">
              <w:rPr>
                <w:rFonts w:eastAsia="Times New Roman" w:cs="Arial"/>
                <w:b/>
                <w:sz w:val="24"/>
                <w:szCs w:val="24"/>
              </w:rPr>
              <w:t>Alison Strath</w:t>
            </w:r>
          </w:p>
        </w:tc>
        <w:tc>
          <w:tcPr>
            <w:tcW w:w="2160" w:type="dxa"/>
            <w:tcBorders>
              <w:top w:val="single" w:sz="4" w:space="0" w:color="auto"/>
              <w:left w:val="single" w:sz="4" w:space="0" w:color="auto"/>
              <w:bottom w:val="single" w:sz="4" w:space="0" w:color="auto"/>
              <w:right w:val="single" w:sz="4" w:space="0" w:color="auto"/>
            </w:tcBorders>
          </w:tcPr>
          <w:p w14:paraId="42AC5D9C" w14:textId="77777777" w:rsidR="00DB606D" w:rsidRPr="00AC0899" w:rsidRDefault="00DB606D" w:rsidP="00DB606D">
            <w:pPr>
              <w:rPr>
                <w:rFonts w:eastAsia="Times New Roman" w:cs="Arial"/>
                <w:b/>
                <w:sz w:val="24"/>
                <w:szCs w:val="24"/>
                <w:highlight w:val="yellow"/>
              </w:rPr>
            </w:pPr>
          </w:p>
        </w:tc>
        <w:tc>
          <w:tcPr>
            <w:tcW w:w="1678" w:type="dxa"/>
            <w:tcBorders>
              <w:top w:val="single" w:sz="4" w:space="0" w:color="auto"/>
              <w:left w:val="single" w:sz="4" w:space="0" w:color="auto"/>
              <w:bottom w:val="single" w:sz="4" w:space="0" w:color="auto"/>
              <w:right w:val="single" w:sz="4" w:space="0" w:color="auto"/>
            </w:tcBorders>
          </w:tcPr>
          <w:p w14:paraId="6990065B" w14:textId="77777777" w:rsidR="00DB606D" w:rsidRPr="00AC0899" w:rsidRDefault="00DB606D" w:rsidP="00DB606D">
            <w:pPr>
              <w:rPr>
                <w:rFonts w:eastAsia="Times New Roman" w:cs="Arial"/>
                <w:b/>
                <w:sz w:val="24"/>
                <w:szCs w:val="24"/>
                <w:highlight w:val="yellow"/>
              </w:rPr>
            </w:pPr>
            <w:r w:rsidRPr="00DB606D">
              <w:rPr>
                <w:rFonts w:eastAsia="Times New Roman" w:cs="Arial"/>
                <w:b/>
                <w:sz w:val="24"/>
                <w:szCs w:val="24"/>
              </w:rPr>
              <w:t xml:space="preserve">19/01/21           </w:t>
            </w:r>
          </w:p>
        </w:tc>
      </w:tr>
    </w:tbl>
    <w:p w14:paraId="186789CA" w14:textId="77777777" w:rsidR="009F5783" w:rsidRPr="00CC79BD" w:rsidRDefault="009F5783" w:rsidP="009F5783">
      <w:pPr>
        <w:spacing w:after="0" w:line="240" w:lineRule="auto"/>
        <w:rPr>
          <w:rFonts w:ascii="Arial" w:eastAsia="Times New Roman" w:hAnsi="Arial" w:cs="Arial"/>
          <w:b/>
          <w:color w:val="FF0000"/>
          <w:sz w:val="24"/>
          <w:szCs w:val="24"/>
        </w:rPr>
      </w:pPr>
    </w:p>
    <w:p w14:paraId="571DD622" w14:textId="77777777" w:rsidR="009F5783" w:rsidRPr="00CC79BD" w:rsidRDefault="004F3F4F" w:rsidP="009F5783">
      <w:pPr>
        <w:overflowPunct w:val="0"/>
        <w:autoSpaceDE w:val="0"/>
        <w:autoSpaceDN w:val="0"/>
        <w:adjustRightInd w:val="0"/>
        <w:spacing w:after="0" w:line="240" w:lineRule="auto"/>
        <w:rPr>
          <w:rFonts w:ascii="Arial" w:eastAsia="Times New Roman" w:hAnsi="Arial" w:cs="Arial"/>
          <w:sz w:val="24"/>
          <w:szCs w:val="24"/>
        </w:rPr>
      </w:pPr>
      <w:r w:rsidRPr="00CC79BD">
        <w:rPr>
          <w:rFonts w:ascii="Arial" w:eastAsia="Times New Roman" w:hAnsi="Arial" w:cs="Arial"/>
          <w:sz w:val="24"/>
          <w:szCs w:val="24"/>
        </w:rPr>
        <w:t xml:space="preserve">It is </w:t>
      </w:r>
      <w:r w:rsidR="00326CEB" w:rsidRPr="00CC79BD">
        <w:rPr>
          <w:rFonts w:ascii="Arial" w:eastAsia="Times New Roman" w:hAnsi="Arial" w:cs="Arial"/>
          <w:sz w:val="24"/>
          <w:szCs w:val="24"/>
        </w:rPr>
        <w:t>Health</w:t>
      </w:r>
      <w:r w:rsidR="009F5783" w:rsidRPr="00CC79BD">
        <w:rPr>
          <w:rFonts w:ascii="Arial" w:eastAsia="Times New Roman" w:hAnsi="Arial" w:cs="Arial"/>
          <w:sz w:val="24"/>
          <w:szCs w:val="24"/>
        </w:rPr>
        <w:t xml:space="preserve"> </w:t>
      </w:r>
      <w:r w:rsidR="00FC433D" w:rsidRPr="00CC79BD">
        <w:rPr>
          <w:rFonts w:ascii="Arial" w:eastAsia="Times New Roman" w:hAnsi="Arial" w:cs="Arial"/>
          <w:sz w:val="24"/>
          <w:szCs w:val="24"/>
        </w:rPr>
        <w:t>Boards</w:t>
      </w:r>
      <w:r w:rsidRPr="00CC79BD">
        <w:rPr>
          <w:rFonts w:ascii="Arial" w:eastAsia="Times New Roman" w:hAnsi="Arial" w:cs="Arial"/>
          <w:sz w:val="24"/>
          <w:szCs w:val="24"/>
        </w:rPr>
        <w:t>’ responsibility to</w:t>
      </w:r>
      <w:r w:rsidR="00326CEB" w:rsidRPr="00CC79BD">
        <w:rPr>
          <w:rFonts w:ascii="Arial" w:eastAsia="Times New Roman" w:hAnsi="Arial" w:cs="Arial"/>
          <w:sz w:val="24"/>
          <w:szCs w:val="24"/>
        </w:rPr>
        <w:t xml:space="preserve"> </w:t>
      </w:r>
      <w:r w:rsidR="00D920F1">
        <w:rPr>
          <w:rFonts w:ascii="Arial" w:eastAsia="Times New Roman" w:hAnsi="Arial" w:cs="Arial"/>
          <w:sz w:val="24"/>
          <w:szCs w:val="24"/>
        </w:rPr>
        <w:t>ensure they and</w:t>
      </w:r>
      <w:r w:rsidR="00E1441D" w:rsidRPr="00CC79BD">
        <w:rPr>
          <w:rFonts w:ascii="Arial" w:eastAsia="Times New Roman" w:hAnsi="Arial" w:cs="Arial"/>
          <w:sz w:val="24"/>
          <w:szCs w:val="24"/>
        </w:rPr>
        <w:t xml:space="preserve"> any organisations they make arrangements with to deliver services on their behalf </w:t>
      </w:r>
      <w:r w:rsidRPr="00CC79BD">
        <w:rPr>
          <w:rFonts w:ascii="Arial" w:hAnsi="Arial" w:cs="Arial"/>
          <w:sz w:val="24"/>
          <w:szCs w:val="24"/>
        </w:rPr>
        <w:t>operate the specified vaccination services in accordance with the protocol</w:t>
      </w:r>
      <w:r w:rsidR="009F5783" w:rsidRPr="00CC79BD">
        <w:rPr>
          <w:rFonts w:ascii="Arial" w:eastAsia="Times New Roman" w:hAnsi="Arial" w:cs="Arial"/>
          <w:sz w:val="24"/>
          <w:szCs w:val="24"/>
        </w:rPr>
        <w:t xml:space="preserve">. Any provider administering </w:t>
      </w:r>
      <w:r w:rsidR="00AD37A3" w:rsidRPr="00AD37A3">
        <w:rPr>
          <w:rFonts w:ascii="Arial" w:hAnsi="Arial" w:cs="Arial"/>
          <w:sz w:val="24"/>
          <w:szCs w:val="24"/>
        </w:rPr>
        <w:t>COVID-19 mRNA Vaccine BNT162b2 Pfizer/BioNTech</w:t>
      </w:r>
      <w:r w:rsidR="00AD37A3">
        <w:t xml:space="preserve"> </w:t>
      </w:r>
      <w:r w:rsidR="00AD37A3" w:rsidRPr="00CC79BD">
        <w:rPr>
          <w:rFonts w:ascii="Arial" w:eastAsia="Times New Roman" w:hAnsi="Arial" w:cs="Arial"/>
          <w:sz w:val="24"/>
          <w:szCs w:val="24"/>
          <w:lang w:eastAsia="en-GB"/>
        </w:rPr>
        <w:t xml:space="preserve"> </w:t>
      </w:r>
      <w:r w:rsidR="009F5783" w:rsidRPr="00CC79BD">
        <w:rPr>
          <w:rFonts w:ascii="Arial" w:eastAsia="Times New Roman" w:hAnsi="Arial" w:cs="Arial"/>
          <w:sz w:val="24"/>
          <w:szCs w:val="24"/>
        </w:rPr>
        <w:t xml:space="preserve">vaccine under protocol must work strictly within the terms of this protocol.  </w:t>
      </w:r>
    </w:p>
    <w:p w14:paraId="2EACC8B2" w14:textId="77777777" w:rsidR="009F5783" w:rsidRPr="00CC79BD" w:rsidRDefault="009F5783" w:rsidP="009F5783">
      <w:pPr>
        <w:overflowPunct w:val="0"/>
        <w:autoSpaceDE w:val="0"/>
        <w:autoSpaceDN w:val="0"/>
        <w:adjustRightInd w:val="0"/>
        <w:spacing w:after="0" w:line="240" w:lineRule="auto"/>
        <w:rPr>
          <w:rFonts w:ascii="Arial" w:eastAsia="Times New Roman" w:hAnsi="Arial" w:cs="Arial"/>
          <w:sz w:val="24"/>
          <w:szCs w:val="24"/>
        </w:rPr>
      </w:pPr>
    </w:p>
    <w:p w14:paraId="359C0F2F" w14:textId="77777777" w:rsidR="009F5783" w:rsidRPr="00CC79BD" w:rsidRDefault="009F5783" w:rsidP="009F5783">
      <w:pPr>
        <w:overflowPunct w:val="0"/>
        <w:autoSpaceDE w:val="0"/>
        <w:autoSpaceDN w:val="0"/>
        <w:adjustRightInd w:val="0"/>
        <w:spacing w:after="0" w:line="240" w:lineRule="auto"/>
        <w:rPr>
          <w:rFonts w:ascii="Arial" w:eastAsia="Times New Roman" w:hAnsi="Arial" w:cs="Arial"/>
          <w:sz w:val="24"/>
          <w:szCs w:val="24"/>
        </w:rPr>
      </w:pPr>
      <w:r w:rsidRPr="00CC79BD">
        <w:rPr>
          <w:rFonts w:ascii="Arial" w:eastAsia="Times New Roman" w:hAnsi="Arial" w:cs="Arial"/>
          <w:sz w:val="24"/>
          <w:szCs w:val="24"/>
        </w:rPr>
        <w:t>The national COVID-19 vaccination programme may also be provided under patient group direction, under written instruction for</w:t>
      </w:r>
      <w:r w:rsidR="00BD46D6">
        <w:rPr>
          <w:rFonts w:ascii="Arial" w:eastAsia="Times New Roman" w:hAnsi="Arial" w:cs="Arial"/>
          <w:sz w:val="24"/>
          <w:szCs w:val="24"/>
        </w:rPr>
        <w:t xml:space="preserve"> supply and</w:t>
      </w:r>
      <w:r w:rsidRPr="00CC79BD">
        <w:rPr>
          <w:rFonts w:ascii="Arial" w:eastAsia="Times New Roman" w:hAnsi="Arial" w:cs="Arial"/>
          <w:sz w:val="24"/>
          <w:szCs w:val="24"/>
        </w:rPr>
        <w:t xml:space="preserve"> administration in the course of an occupational health scheme, or on a patient specific basis, by or on the directions of an appropriate prescriber. Supply and administration in these instances are not related to this protocol.</w:t>
      </w:r>
    </w:p>
    <w:p w14:paraId="3EFF5298" w14:textId="77777777" w:rsidR="009F5783" w:rsidRPr="00CC79BD" w:rsidRDefault="009F5783" w:rsidP="009F5783">
      <w:pPr>
        <w:spacing w:after="0" w:line="240" w:lineRule="auto"/>
        <w:rPr>
          <w:rFonts w:ascii="Arial" w:eastAsia="Times New Roman" w:hAnsi="Arial" w:cs="Arial"/>
          <w:sz w:val="24"/>
          <w:szCs w:val="24"/>
        </w:rPr>
      </w:pPr>
      <w:r w:rsidRPr="00CC79BD">
        <w:rPr>
          <w:rFonts w:ascii="Arial" w:eastAsia="Times New Roman" w:hAnsi="Arial" w:cs="Arial"/>
          <w:b/>
          <w:sz w:val="24"/>
          <w:szCs w:val="24"/>
        </w:rPr>
        <w:t xml:space="preserve">  </w:t>
      </w:r>
    </w:p>
    <w:p w14:paraId="641066DC" w14:textId="77777777" w:rsidR="00E24FB2" w:rsidRPr="00CC79BD" w:rsidRDefault="00E24FB2" w:rsidP="00E24FB2">
      <w:pPr>
        <w:keepNext/>
        <w:overflowPunct w:val="0"/>
        <w:autoSpaceDE w:val="0"/>
        <w:autoSpaceDN w:val="0"/>
        <w:adjustRightInd w:val="0"/>
        <w:spacing w:after="120" w:line="240" w:lineRule="auto"/>
        <w:outlineLvl w:val="0"/>
        <w:rPr>
          <w:rFonts w:ascii="Arial" w:eastAsia="Times New Roman" w:hAnsi="Arial" w:cs="Arial"/>
          <w:b/>
          <w:bCs/>
          <w:color w:val="FF0000"/>
          <w:sz w:val="24"/>
          <w:szCs w:val="24"/>
          <w:lang w:eastAsia="en-GB"/>
        </w:rPr>
      </w:pPr>
      <w:r w:rsidRPr="00CC79BD">
        <w:rPr>
          <w:rFonts w:ascii="Arial" w:eastAsia="Times New Roman" w:hAnsi="Arial" w:cs="Arial"/>
          <w:b/>
          <w:sz w:val="24"/>
          <w:szCs w:val="24"/>
          <w:lang w:val="en-US"/>
        </w:rPr>
        <w:t>3. Change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5833"/>
        <w:gridCol w:w="1944"/>
      </w:tblGrid>
      <w:tr w:rsidR="00E24FB2" w:rsidRPr="00CC79BD" w14:paraId="4AFFA248" w14:textId="77777777" w:rsidTr="00C942FB">
        <w:tc>
          <w:tcPr>
            <w:tcW w:w="687" w:type="pct"/>
            <w:tcBorders>
              <w:top w:val="single" w:sz="4" w:space="0" w:color="auto"/>
              <w:left w:val="single" w:sz="4" w:space="0" w:color="auto"/>
              <w:bottom w:val="single" w:sz="4" w:space="0" w:color="auto"/>
              <w:right w:val="single" w:sz="4" w:space="0" w:color="auto"/>
            </w:tcBorders>
            <w:shd w:val="clear" w:color="auto" w:fill="D9D9D9"/>
            <w:hideMark/>
          </w:tcPr>
          <w:p w14:paraId="6446F75D" w14:textId="77777777" w:rsidR="00E24FB2" w:rsidRPr="00CC79BD" w:rsidRDefault="00E24FB2" w:rsidP="00C942FB">
            <w:pPr>
              <w:keepNext/>
              <w:spacing w:before="120" w:after="60" w:line="256" w:lineRule="auto"/>
              <w:rPr>
                <w:rFonts w:ascii="Arial" w:eastAsia="Times New Roman" w:hAnsi="Arial" w:cs="Arial"/>
                <w:b/>
                <w:bCs/>
                <w:sz w:val="24"/>
                <w:szCs w:val="24"/>
                <w:lang w:val="en-US"/>
              </w:rPr>
            </w:pPr>
            <w:r w:rsidRPr="00CC79BD">
              <w:rPr>
                <w:rFonts w:ascii="Arial" w:eastAsia="Times New Roman" w:hAnsi="Arial" w:cs="Arial"/>
                <w:b/>
                <w:bCs/>
                <w:sz w:val="24"/>
                <w:szCs w:val="24"/>
                <w:lang w:val="en-US"/>
              </w:rPr>
              <w:t>Version number</w:t>
            </w:r>
          </w:p>
        </w:tc>
        <w:tc>
          <w:tcPr>
            <w:tcW w:w="3235" w:type="pct"/>
            <w:tcBorders>
              <w:top w:val="single" w:sz="4" w:space="0" w:color="auto"/>
              <w:left w:val="single" w:sz="4" w:space="0" w:color="auto"/>
              <w:bottom w:val="single" w:sz="4" w:space="0" w:color="auto"/>
              <w:right w:val="single" w:sz="4" w:space="0" w:color="auto"/>
            </w:tcBorders>
            <w:shd w:val="clear" w:color="auto" w:fill="D9D9D9"/>
            <w:hideMark/>
          </w:tcPr>
          <w:p w14:paraId="118C84C7" w14:textId="77777777" w:rsidR="00E24FB2" w:rsidRPr="00CC79BD" w:rsidRDefault="00E24FB2" w:rsidP="00C942FB">
            <w:pPr>
              <w:keepNext/>
              <w:spacing w:before="120" w:after="60" w:line="256" w:lineRule="auto"/>
              <w:rPr>
                <w:rFonts w:ascii="Arial" w:eastAsia="Times New Roman" w:hAnsi="Arial" w:cs="Arial"/>
                <w:b/>
                <w:bCs/>
                <w:sz w:val="24"/>
                <w:szCs w:val="24"/>
                <w:lang w:val="en-US"/>
              </w:rPr>
            </w:pPr>
            <w:r w:rsidRPr="00CC79BD">
              <w:rPr>
                <w:rFonts w:ascii="Arial" w:eastAsia="Times New Roman" w:hAnsi="Arial" w:cs="Arial"/>
                <w:b/>
                <w:bCs/>
                <w:sz w:val="24"/>
                <w:szCs w:val="24"/>
                <w:lang w:val="en-US"/>
              </w:rPr>
              <w:t>Change details</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56CE7F8A" w14:textId="77777777" w:rsidR="00E24FB2" w:rsidRPr="00CC79BD" w:rsidRDefault="00E24FB2" w:rsidP="00C942FB">
            <w:pPr>
              <w:keepNext/>
              <w:spacing w:before="120" w:after="60" w:line="256" w:lineRule="auto"/>
              <w:rPr>
                <w:rFonts w:ascii="Arial" w:eastAsia="Times New Roman" w:hAnsi="Arial" w:cs="Arial"/>
                <w:b/>
                <w:bCs/>
                <w:sz w:val="24"/>
                <w:szCs w:val="24"/>
                <w:lang w:val="en-US"/>
              </w:rPr>
            </w:pPr>
            <w:r w:rsidRPr="00CC79BD">
              <w:rPr>
                <w:rFonts w:ascii="Arial" w:eastAsia="Times New Roman" w:hAnsi="Arial" w:cs="Arial"/>
                <w:b/>
                <w:bCs/>
                <w:sz w:val="24"/>
                <w:szCs w:val="24"/>
                <w:lang w:val="en-US"/>
              </w:rPr>
              <w:t>Date</w:t>
            </w:r>
          </w:p>
        </w:tc>
      </w:tr>
      <w:tr w:rsidR="00E24FB2" w:rsidRPr="00CC79BD" w14:paraId="6B977C2D" w14:textId="77777777" w:rsidTr="00C942FB">
        <w:tc>
          <w:tcPr>
            <w:tcW w:w="687" w:type="pct"/>
            <w:tcBorders>
              <w:top w:val="single" w:sz="4" w:space="0" w:color="auto"/>
              <w:left w:val="single" w:sz="4" w:space="0" w:color="auto"/>
              <w:bottom w:val="single" w:sz="4" w:space="0" w:color="auto"/>
              <w:right w:val="single" w:sz="4" w:space="0" w:color="auto"/>
            </w:tcBorders>
            <w:hideMark/>
          </w:tcPr>
          <w:p w14:paraId="4C017321" w14:textId="77777777" w:rsidR="00E24FB2" w:rsidRPr="00CC79BD" w:rsidRDefault="00E24FB2" w:rsidP="00C942FB">
            <w:pPr>
              <w:keepNext/>
              <w:spacing w:before="120" w:after="60" w:line="256" w:lineRule="auto"/>
              <w:rPr>
                <w:rFonts w:ascii="Arial" w:eastAsia="Times New Roman" w:hAnsi="Arial" w:cs="Arial"/>
                <w:sz w:val="24"/>
                <w:szCs w:val="24"/>
                <w:lang w:val="en-US"/>
              </w:rPr>
            </w:pPr>
            <w:r w:rsidRPr="00CC79BD">
              <w:rPr>
                <w:rFonts w:ascii="Arial" w:eastAsia="Times New Roman" w:hAnsi="Arial" w:cs="Arial"/>
                <w:sz w:val="24"/>
                <w:szCs w:val="24"/>
                <w:lang w:val="en-US"/>
              </w:rPr>
              <w:t>V01.00</w:t>
            </w:r>
          </w:p>
        </w:tc>
        <w:tc>
          <w:tcPr>
            <w:tcW w:w="3235" w:type="pct"/>
            <w:tcBorders>
              <w:top w:val="single" w:sz="4" w:space="0" w:color="auto"/>
              <w:left w:val="single" w:sz="4" w:space="0" w:color="auto"/>
              <w:bottom w:val="single" w:sz="4" w:space="0" w:color="auto"/>
              <w:right w:val="single" w:sz="4" w:space="0" w:color="auto"/>
            </w:tcBorders>
            <w:hideMark/>
          </w:tcPr>
          <w:p w14:paraId="6EAAA40F" w14:textId="77777777" w:rsidR="00E24FB2" w:rsidRPr="00CC79BD" w:rsidRDefault="00E24FB2" w:rsidP="00C942FB">
            <w:pPr>
              <w:keepNext/>
              <w:spacing w:before="120" w:after="60" w:line="256" w:lineRule="auto"/>
              <w:rPr>
                <w:rFonts w:ascii="Arial" w:eastAsia="Times New Roman" w:hAnsi="Arial" w:cs="Arial"/>
                <w:sz w:val="24"/>
                <w:szCs w:val="24"/>
                <w:lang w:val="en-US"/>
              </w:rPr>
            </w:pPr>
            <w:r w:rsidRPr="00CC79BD">
              <w:rPr>
                <w:rFonts w:ascii="Arial" w:eastAsia="Times New Roman" w:hAnsi="Arial" w:cs="Arial"/>
                <w:sz w:val="24"/>
                <w:szCs w:val="24"/>
                <w:lang w:val="en-US"/>
              </w:rPr>
              <w:t xml:space="preserve">New protocol for </w:t>
            </w:r>
            <w:r w:rsidR="00E27718" w:rsidRPr="00AD37A3">
              <w:rPr>
                <w:rFonts w:ascii="Arial" w:hAnsi="Arial" w:cs="Arial"/>
                <w:sz w:val="24"/>
                <w:szCs w:val="24"/>
              </w:rPr>
              <w:t>COVID-19 mRNA Vaccine BNT162b2 Pfizer/BioNTech</w:t>
            </w:r>
            <w:r w:rsidR="00E27718">
              <w:t xml:space="preserve"> </w:t>
            </w:r>
            <w:r w:rsidR="00E27718" w:rsidRPr="00CC79BD">
              <w:rPr>
                <w:rFonts w:ascii="Arial" w:eastAsia="Times New Roman" w:hAnsi="Arial" w:cs="Arial"/>
                <w:sz w:val="24"/>
                <w:szCs w:val="24"/>
                <w:lang w:eastAsia="en-GB"/>
              </w:rPr>
              <w:t xml:space="preserve"> </w:t>
            </w:r>
            <w:r w:rsidRPr="00CC79BD">
              <w:rPr>
                <w:rFonts w:ascii="Arial" w:eastAsia="Times New Roman" w:hAnsi="Arial" w:cs="Arial"/>
                <w:sz w:val="24"/>
                <w:szCs w:val="24"/>
                <w:lang w:val="en-US"/>
              </w:rPr>
              <w:t>vaccine.</w:t>
            </w:r>
          </w:p>
        </w:tc>
        <w:tc>
          <w:tcPr>
            <w:tcW w:w="1078" w:type="pct"/>
            <w:tcBorders>
              <w:top w:val="single" w:sz="4" w:space="0" w:color="auto"/>
              <w:left w:val="single" w:sz="4" w:space="0" w:color="auto"/>
              <w:bottom w:val="single" w:sz="4" w:space="0" w:color="auto"/>
              <w:right w:val="single" w:sz="4" w:space="0" w:color="auto"/>
            </w:tcBorders>
            <w:hideMark/>
          </w:tcPr>
          <w:p w14:paraId="2364C2F2" w14:textId="77777777" w:rsidR="00E24FB2" w:rsidRPr="00CC79BD" w:rsidRDefault="00F45605" w:rsidP="00292BBB">
            <w:pPr>
              <w:keepNext/>
              <w:spacing w:before="120" w:after="60" w:line="256" w:lineRule="auto"/>
              <w:rPr>
                <w:rFonts w:ascii="Arial" w:eastAsia="Times New Roman" w:hAnsi="Arial" w:cs="Arial"/>
                <w:sz w:val="24"/>
                <w:szCs w:val="24"/>
                <w:lang w:val="en-US"/>
              </w:rPr>
            </w:pPr>
            <w:r>
              <w:rPr>
                <w:rFonts w:ascii="Arial" w:eastAsia="Times New Roman" w:hAnsi="Arial" w:cs="Arial"/>
                <w:sz w:val="24"/>
                <w:szCs w:val="24"/>
                <w:lang w:val="en-US"/>
              </w:rPr>
              <w:t>21</w:t>
            </w:r>
            <w:r w:rsidR="00292BBB">
              <w:rPr>
                <w:rFonts w:ascii="Arial" w:eastAsia="Times New Roman" w:hAnsi="Arial" w:cs="Arial"/>
                <w:sz w:val="24"/>
                <w:szCs w:val="24"/>
                <w:lang w:val="en-US"/>
              </w:rPr>
              <w:t xml:space="preserve"> January 2021</w:t>
            </w:r>
          </w:p>
        </w:tc>
      </w:tr>
    </w:tbl>
    <w:p w14:paraId="2D83C861" w14:textId="77777777" w:rsidR="00E24FB2" w:rsidRPr="00CC79BD" w:rsidRDefault="00E24FB2" w:rsidP="00E24FB2">
      <w:pPr>
        <w:keepNext/>
        <w:overflowPunct w:val="0"/>
        <w:autoSpaceDE w:val="0"/>
        <w:autoSpaceDN w:val="0"/>
        <w:adjustRightInd w:val="0"/>
        <w:spacing w:before="120" w:after="120" w:line="240" w:lineRule="auto"/>
        <w:outlineLvl w:val="3"/>
        <w:rPr>
          <w:rFonts w:ascii="Arial" w:eastAsia="Times New Roman" w:hAnsi="Arial" w:cs="Arial"/>
          <w:b/>
          <w:sz w:val="24"/>
          <w:szCs w:val="24"/>
          <w:lang w:eastAsia="en-GB"/>
        </w:rPr>
      </w:pPr>
    </w:p>
    <w:p w14:paraId="33AAF8CC" w14:textId="77777777" w:rsidR="009F5783" w:rsidRPr="00CC79BD" w:rsidRDefault="009A45B4" w:rsidP="009A45B4">
      <w:pPr>
        <w:keepNext/>
        <w:overflowPunct w:val="0"/>
        <w:autoSpaceDE w:val="0"/>
        <w:autoSpaceDN w:val="0"/>
        <w:adjustRightInd w:val="0"/>
        <w:spacing w:before="120" w:after="120" w:line="240" w:lineRule="auto"/>
        <w:contextualSpacing/>
        <w:outlineLvl w:val="3"/>
        <w:rPr>
          <w:rFonts w:ascii="Arial" w:eastAsia="Times New Roman" w:hAnsi="Arial" w:cs="Arial"/>
          <w:b/>
          <w:sz w:val="24"/>
          <w:szCs w:val="24"/>
          <w:lang w:eastAsia="en-GB"/>
        </w:rPr>
      </w:pPr>
      <w:r w:rsidRPr="00CC79BD">
        <w:rPr>
          <w:rFonts w:ascii="Arial" w:eastAsia="Times New Roman" w:hAnsi="Arial" w:cs="Arial"/>
          <w:b/>
          <w:sz w:val="24"/>
          <w:szCs w:val="24"/>
          <w:lang w:eastAsia="en-GB"/>
        </w:rPr>
        <w:t xml:space="preserve">4. </w:t>
      </w:r>
      <w:r w:rsidR="009F5783" w:rsidRPr="00CC79BD">
        <w:rPr>
          <w:rFonts w:ascii="Arial" w:eastAsia="Times New Roman" w:hAnsi="Arial" w:cs="Arial"/>
          <w:b/>
          <w:sz w:val="24"/>
          <w:szCs w:val="24"/>
          <w:lang w:eastAsia="en-GB"/>
        </w:rPr>
        <w:t>Characteristics of staff</w:t>
      </w:r>
    </w:p>
    <w:p w14:paraId="41176F7E" w14:textId="77777777" w:rsidR="00E1441D" w:rsidRPr="00CC79BD" w:rsidRDefault="00E1441D" w:rsidP="00E1441D">
      <w:pPr>
        <w:contextualSpacing/>
        <w:rPr>
          <w:rFonts w:ascii="Arial" w:hAnsi="Arial" w:cs="Arial"/>
          <w:sz w:val="24"/>
          <w:szCs w:val="24"/>
        </w:rPr>
      </w:pPr>
    </w:p>
    <w:p w14:paraId="3B1D1641" w14:textId="77777777" w:rsidR="00E1441D" w:rsidRPr="00CC79BD" w:rsidRDefault="00E1441D" w:rsidP="00E1441D">
      <w:pPr>
        <w:overflowPunct w:val="0"/>
        <w:autoSpaceDE w:val="0"/>
        <w:autoSpaceDN w:val="0"/>
        <w:adjustRightInd w:val="0"/>
        <w:spacing w:after="0" w:line="240" w:lineRule="auto"/>
        <w:rPr>
          <w:rFonts w:ascii="Arial" w:eastAsia="Times New Roman" w:hAnsi="Arial" w:cs="Arial"/>
          <w:sz w:val="24"/>
          <w:szCs w:val="24"/>
          <w:lang w:eastAsia="en-GB"/>
        </w:rPr>
      </w:pPr>
      <w:r w:rsidRPr="00CC79BD">
        <w:rPr>
          <w:rFonts w:ascii="Arial" w:eastAsia="Times New Roman" w:hAnsi="Arial" w:cs="Arial"/>
          <w:sz w:val="24"/>
          <w:szCs w:val="24"/>
        </w:rPr>
        <w:t>The Provider is responsible for the designation and authorisation of persons within the classes set out below permitted to administer medicinal products under this protocol.  In doing so the provider must establish that those persons</w:t>
      </w:r>
    </w:p>
    <w:p w14:paraId="65EBA184" w14:textId="77777777" w:rsidR="00E1441D" w:rsidRPr="00CC79BD" w:rsidRDefault="00E1441D" w:rsidP="00A9657F">
      <w:pPr>
        <w:overflowPunct w:val="0"/>
        <w:autoSpaceDE w:val="0"/>
        <w:autoSpaceDN w:val="0"/>
        <w:adjustRightInd w:val="0"/>
        <w:spacing w:after="0" w:line="240" w:lineRule="auto"/>
        <w:rPr>
          <w:rFonts w:ascii="Arial" w:eastAsia="Times New Roman" w:hAnsi="Arial" w:cs="Arial"/>
          <w:sz w:val="24"/>
          <w:szCs w:val="24"/>
          <w:lang w:eastAsia="en-GB"/>
        </w:rPr>
      </w:pPr>
    </w:p>
    <w:p w14:paraId="1BA01FFE" w14:textId="77777777" w:rsidR="00E1441D" w:rsidRPr="00A9657F" w:rsidRDefault="00E1441D" w:rsidP="00D23D5D">
      <w:pPr>
        <w:pStyle w:val="ListParagraph"/>
        <w:numPr>
          <w:ilvl w:val="0"/>
          <w:numId w:val="31"/>
        </w:numPr>
        <w:spacing w:after="160"/>
        <w:rPr>
          <w:rFonts w:cs="Arial"/>
          <w:szCs w:val="24"/>
        </w:rPr>
      </w:pPr>
      <w:r w:rsidRPr="00A9657F">
        <w:rPr>
          <w:rFonts w:cs="Arial"/>
          <w:szCs w:val="24"/>
        </w:rPr>
        <w:t>demonstrate appropriate knowledge and skills to work under the National Protocol for the supply/administration of COVID-19 vaccine.</w:t>
      </w:r>
    </w:p>
    <w:p w14:paraId="68F82159" w14:textId="77777777" w:rsidR="00A9657F" w:rsidRPr="00D23D5D" w:rsidRDefault="00E7412E" w:rsidP="00D23D5D">
      <w:pPr>
        <w:pStyle w:val="ListParagraph"/>
        <w:numPr>
          <w:ilvl w:val="0"/>
          <w:numId w:val="31"/>
        </w:numPr>
        <w:rPr>
          <w:szCs w:val="24"/>
        </w:rPr>
      </w:pPr>
      <w:r w:rsidRPr="00D23D5D">
        <w:rPr>
          <w:rFonts w:cs="Arial"/>
          <w:szCs w:val="24"/>
        </w:rPr>
        <w:t>h</w:t>
      </w:r>
      <w:r w:rsidR="00E1441D" w:rsidRPr="00D23D5D">
        <w:rPr>
          <w:rFonts w:cs="Arial"/>
          <w:szCs w:val="24"/>
        </w:rPr>
        <w:t>ave met the requirements of the NES Proficiency document -COVID-19 vaccine administration for registered staff or the NES Proficiency document –COVID-19 vaccine administration</w:t>
      </w:r>
      <w:r w:rsidRPr="00D23D5D">
        <w:rPr>
          <w:rFonts w:cs="Arial"/>
          <w:szCs w:val="24"/>
        </w:rPr>
        <w:t xml:space="preserve"> </w:t>
      </w:r>
      <w:r w:rsidR="00E1441D" w:rsidRPr="00D23D5D">
        <w:rPr>
          <w:rFonts w:cs="Arial"/>
          <w:szCs w:val="24"/>
        </w:rPr>
        <w:t>- Healthcare support workers as appropriate</w:t>
      </w:r>
      <w:r w:rsidR="00A9657F" w:rsidRPr="00D23D5D">
        <w:rPr>
          <w:rFonts w:cs="Arial"/>
          <w:szCs w:val="24"/>
        </w:rPr>
        <w:t xml:space="preserve"> </w:t>
      </w:r>
      <w:hyperlink r:id="rId17" w:history="1">
        <w:r w:rsidR="00A9657F" w:rsidRPr="00D23D5D">
          <w:rPr>
            <w:rStyle w:val="Hyperlink"/>
            <w:rFonts w:cs="Arial"/>
            <w:szCs w:val="24"/>
          </w:rPr>
          <w:t>https://learn.nes.nhs.scot/37676/immunisation/covid-19-vaccines</w:t>
        </w:r>
      </w:hyperlink>
    </w:p>
    <w:p w14:paraId="12243784" w14:textId="77777777" w:rsidR="00E1441D" w:rsidRPr="00CC79BD" w:rsidRDefault="00E1441D" w:rsidP="00D23D5D">
      <w:pPr>
        <w:spacing w:after="160" w:line="240" w:lineRule="auto"/>
        <w:ind w:left="720" w:hanging="720"/>
        <w:rPr>
          <w:rFonts w:ascii="Arial" w:hAnsi="Arial" w:cs="Arial"/>
          <w:sz w:val="24"/>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E1441D" w:rsidRPr="00CC79BD" w14:paraId="4B5E9555" w14:textId="77777777" w:rsidTr="00441148">
        <w:tc>
          <w:tcPr>
            <w:tcW w:w="9923" w:type="dxa"/>
            <w:shd w:val="clear" w:color="auto" w:fill="BFBFBF" w:themeFill="background1" w:themeFillShade="BF"/>
          </w:tcPr>
          <w:p w14:paraId="127270D0" w14:textId="77777777" w:rsidR="00E1441D" w:rsidRPr="00CC79BD" w:rsidRDefault="00E1441D" w:rsidP="00441148">
            <w:pPr>
              <w:tabs>
                <w:tab w:val="left" w:pos="7647"/>
              </w:tabs>
              <w:rPr>
                <w:rFonts w:ascii="Arial" w:hAnsi="Arial" w:cs="Arial"/>
                <w:sz w:val="24"/>
                <w:szCs w:val="24"/>
              </w:rPr>
            </w:pPr>
            <w:r w:rsidRPr="00CC79BD">
              <w:rPr>
                <w:rStyle w:val="legamendingtext"/>
                <w:rFonts w:ascii="Arial" w:hAnsi="Arial" w:cs="Arial"/>
                <w:sz w:val="24"/>
                <w:szCs w:val="24"/>
              </w:rPr>
              <w:t>Classes of persons permitted to administer medicinal products under this protocol</w:t>
            </w:r>
          </w:p>
        </w:tc>
      </w:tr>
      <w:tr w:rsidR="00E1441D" w:rsidRPr="00CC79BD" w14:paraId="6F6AF127" w14:textId="77777777" w:rsidTr="00441148">
        <w:tc>
          <w:tcPr>
            <w:tcW w:w="9923" w:type="dxa"/>
          </w:tcPr>
          <w:p w14:paraId="0693B972" w14:textId="77777777" w:rsidR="00D23D5D" w:rsidRPr="00BD46D6" w:rsidRDefault="00D23D5D" w:rsidP="00D23D5D">
            <w:pPr>
              <w:pStyle w:val="Header"/>
              <w:tabs>
                <w:tab w:val="left" w:pos="720"/>
              </w:tabs>
              <w:spacing w:before="120" w:after="120"/>
              <w:rPr>
                <w:rFonts w:ascii="Arial" w:hAnsi="Arial" w:cs="Arial"/>
                <w:szCs w:val="24"/>
              </w:rPr>
            </w:pPr>
            <w:bookmarkStart w:id="3" w:name="_Hlk55566361"/>
            <w:bookmarkStart w:id="4" w:name="_Hlk42690097"/>
            <w:r w:rsidRPr="00BD46D6">
              <w:rPr>
                <w:rFonts w:ascii="Arial" w:hAnsi="Arial" w:cs="Arial"/>
                <w:szCs w:val="24"/>
              </w:rPr>
              <w:t xml:space="preserve">This protocol may be adhered to wholly from assessment through to post-vaccination by a single appropriately </w:t>
            </w:r>
            <w:r>
              <w:rPr>
                <w:rFonts w:ascii="Arial" w:hAnsi="Arial" w:cs="Arial"/>
                <w:szCs w:val="24"/>
              </w:rPr>
              <w:t xml:space="preserve">specified </w:t>
            </w:r>
            <w:r w:rsidRPr="00BD46D6">
              <w:rPr>
                <w:rFonts w:ascii="Arial" w:hAnsi="Arial" w:cs="Arial"/>
                <w:szCs w:val="24"/>
              </w:rPr>
              <w:t>registered healthcare professional. Alternatively, multiple persons may undertake specific activity stages in the vaccination pathway in accordance with this protocol.</w:t>
            </w:r>
          </w:p>
          <w:p w14:paraId="6C3DFC8A" w14:textId="77777777" w:rsidR="00BD46D6" w:rsidRPr="00BD46D6" w:rsidRDefault="00BD46D6" w:rsidP="00441148">
            <w:pPr>
              <w:pStyle w:val="Header"/>
              <w:tabs>
                <w:tab w:val="left" w:pos="720"/>
              </w:tabs>
              <w:spacing w:before="120" w:after="120"/>
              <w:rPr>
                <w:rFonts w:ascii="Arial" w:hAnsi="Arial" w:cs="Arial"/>
                <w:szCs w:val="24"/>
              </w:rPr>
            </w:pPr>
            <w:r w:rsidRPr="00BD46D6">
              <w:rPr>
                <w:rFonts w:ascii="Arial" w:hAnsi="Arial" w:cs="Arial"/>
                <w:szCs w:val="24"/>
              </w:rPr>
              <w:t>Activity stages of the vaccination pathway under this protocol</w:t>
            </w:r>
          </w:p>
          <w:tbl>
            <w:tblPr>
              <w:tblStyle w:val="TableGrid"/>
              <w:tblW w:w="9355" w:type="dxa"/>
              <w:tblInd w:w="201" w:type="dxa"/>
              <w:tblLayout w:type="fixed"/>
              <w:tblLook w:val="04A0" w:firstRow="1" w:lastRow="0" w:firstColumn="1" w:lastColumn="0" w:noHBand="0" w:noVBand="1"/>
            </w:tblPr>
            <w:tblGrid>
              <w:gridCol w:w="992"/>
              <w:gridCol w:w="5812"/>
              <w:gridCol w:w="2551"/>
            </w:tblGrid>
            <w:tr w:rsidR="00E1441D" w:rsidRPr="00BD46D6" w14:paraId="0C2890BC" w14:textId="77777777" w:rsidTr="00441148">
              <w:tc>
                <w:tcPr>
                  <w:tcW w:w="992" w:type="dxa"/>
                  <w:shd w:val="clear" w:color="auto" w:fill="D9D9D9" w:themeFill="background1" w:themeFillShade="D9"/>
                </w:tcPr>
                <w:p w14:paraId="210E27D4" w14:textId="77777777" w:rsidR="00E1441D" w:rsidRPr="00BD46D6" w:rsidRDefault="00E1441D" w:rsidP="00441148">
                  <w:pPr>
                    <w:tabs>
                      <w:tab w:val="left" w:pos="7647"/>
                    </w:tabs>
                    <w:jc w:val="left"/>
                    <w:rPr>
                      <w:rFonts w:cs="Arial"/>
                      <w:sz w:val="24"/>
                      <w:szCs w:val="24"/>
                    </w:rPr>
                  </w:pPr>
                  <w:r w:rsidRPr="00BD46D6">
                    <w:rPr>
                      <w:rFonts w:cs="Arial"/>
                      <w:sz w:val="24"/>
                      <w:szCs w:val="24"/>
                    </w:rPr>
                    <w:t>Stage 1</w:t>
                  </w:r>
                </w:p>
              </w:tc>
              <w:tc>
                <w:tcPr>
                  <w:tcW w:w="5812" w:type="dxa"/>
                </w:tcPr>
                <w:p w14:paraId="371AC6DC" w14:textId="77777777" w:rsidR="00E1441D" w:rsidRPr="00BD46D6" w:rsidRDefault="00E1441D" w:rsidP="00E1441D">
                  <w:pPr>
                    <w:pStyle w:val="ListParagraph"/>
                    <w:numPr>
                      <w:ilvl w:val="0"/>
                      <w:numId w:val="18"/>
                    </w:numPr>
                    <w:tabs>
                      <w:tab w:val="left" w:pos="7647"/>
                    </w:tabs>
                    <w:ind w:left="226" w:hanging="283"/>
                    <w:jc w:val="left"/>
                    <w:textAlignment w:val="baseline"/>
                    <w:rPr>
                      <w:rFonts w:cs="Arial"/>
                      <w:noProof/>
                      <w:szCs w:val="24"/>
                    </w:rPr>
                  </w:pPr>
                  <w:r w:rsidRPr="00BD46D6">
                    <w:rPr>
                      <w:rFonts w:cs="Arial"/>
                      <w:noProof/>
                      <w:szCs w:val="24"/>
                    </w:rPr>
                    <w:t>Assessment of the individual presenting for vaccination</w:t>
                  </w:r>
                </w:p>
                <w:p w14:paraId="194BAD68" w14:textId="77777777" w:rsidR="00E1441D" w:rsidRPr="00BD46D6" w:rsidRDefault="00E1441D" w:rsidP="00E1441D">
                  <w:pPr>
                    <w:pStyle w:val="ListParagraph"/>
                    <w:numPr>
                      <w:ilvl w:val="0"/>
                      <w:numId w:val="18"/>
                    </w:numPr>
                    <w:tabs>
                      <w:tab w:val="left" w:pos="7647"/>
                    </w:tabs>
                    <w:ind w:left="226" w:hanging="283"/>
                    <w:jc w:val="left"/>
                    <w:textAlignment w:val="baseline"/>
                    <w:rPr>
                      <w:rFonts w:cs="Arial"/>
                      <w:noProof/>
                      <w:szCs w:val="24"/>
                    </w:rPr>
                  </w:pPr>
                  <w:r w:rsidRPr="00BD46D6">
                    <w:rPr>
                      <w:rFonts w:cs="Arial"/>
                      <w:noProof/>
                      <w:szCs w:val="24"/>
                    </w:rPr>
                    <w:t>Provide information and obtain informed consent</w:t>
                  </w:r>
                </w:p>
                <w:p w14:paraId="07482D33" w14:textId="77777777" w:rsidR="00E1441D" w:rsidRPr="00BD46D6" w:rsidRDefault="00E1441D" w:rsidP="00E1441D">
                  <w:pPr>
                    <w:pStyle w:val="ListParagraph"/>
                    <w:numPr>
                      <w:ilvl w:val="0"/>
                      <w:numId w:val="18"/>
                    </w:numPr>
                    <w:tabs>
                      <w:tab w:val="left" w:pos="7647"/>
                    </w:tabs>
                    <w:ind w:left="226" w:hanging="283"/>
                    <w:jc w:val="left"/>
                    <w:textAlignment w:val="baseline"/>
                    <w:rPr>
                      <w:rFonts w:cs="Arial"/>
                      <w:szCs w:val="24"/>
                    </w:rPr>
                  </w:pPr>
                  <w:r w:rsidRPr="00BD46D6">
                    <w:rPr>
                      <w:rFonts w:cs="Arial"/>
                      <w:noProof/>
                      <w:szCs w:val="24"/>
                    </w:rPr>
                    <w:t>Provide advice to the individual</w:t>
                  </w:r>
                </w:p>
              </w:tc>
              <w:tc>
                <w:tcPr>
                  <w:tcW w:w="2551" w:type="dxa"/>
                </w:tcPr>
                <w:p w14:paraId="76FABCC4" w14:textId="77777777" w:rsidR="00E1441D" w:rsidRPr="00BD46D6" w:rsidRDefault="00E1441D" w:rsidP="00441148">
                  <w:pPr>
                    <w:tabs>
                      <w:tab w:val="left" w:pos="7647"/>
                    </w:tabs>
                    <w:ind w:left="31"/>
                    <w:jc w:val="left"/>
                    <w:rPr>
                      <w:rFonts w:cs="Arial"/>
                      <w:noProof/>
                      <w:sz w:val="24"/>
                      <w:szCs w:val="24"/>
                    </w:rPr>
                  </w:pPr>
                  <w:r w:rsidRPr="00BD46D6">
                    <w:rPr>
                      <w:rFonts w:cs="Arial"/>
                      <w:noProof/>
                      <w:sz w:val="24"/>
                      <w:szCs w:val="24"/>
                    </w:rPr>
                    <w:t>Registered Healthcare Professionals Only</w:t>
                  </w:r>
                </w:p>
              </w:tc>
            </w:tr>
            <w:tr w:rsidR="00E1441D" w:rsidRPr="00BD46D6" w14:paraId="171FE786" w14:textId="77777777" w:rsidTr="00441148">
              <w:tc>
                <w:tcPr>
                  <w:tcW w:w="992" w:type="dxa"/>
                  <w:shd w:val="clear" w:color="auto" w:fill="D9D9D9" w:themeFill="background1" w:themeFillShade="D9"/>
                </w:tcPr>
                <w:p w14:paraId="0B453492" w14:textId="77777777" w:rsidR="00E1441D" w:rsidRPr="00BD46D6" w:rsidRDefault="00E1441D" w:rsidP="00441148">
                  <w:pPr>
                    <w:tabs>
                      <w:tab w:val="left" w:pos="7647"/>
                    </w:tabs>
                    <w:jc w:val="left"/>
                    <w:rPr>
                      <w:rFonts w:cs="Arial"/>
                      <w:sz w:val="24"/>
                      <w:szCs w:val="24"/>
                    </w:rPr>
                  </w:pPr>
                  <w:r w:rsidRPr="00BD46D6">
                    <w:rPr>
                      <w:rFonts w:cs="Arial"/>
                      <w:sz w:val="24"/>
                      <w:szCs w:val="24"/>
                    </w:rPr>
                    <w:t>Stage 2</w:t>
                  </w:r>
                </w:p>
              </w:tc>
              <w:tc>
                <w:tcPr>
                  <w:tcW w:w="5812" w:type="dxa"/>
                </w:tcPr>
                <w:p w14:paraId="78FE8852" w14:textId="77777777" w:rsidR="00E1441D" w:rsidRPr="00BD46D6" w:rsidRDefault="00E1441D" w:rsidP="00E1441D">
                  <w:pPr>
                    <w:pStyle w:val="ListParagraph"/>
                    <w:numPr>
                      <w:ilvl w:val="0"/>
                      <w:numId w:val="17"/>
                    </w:numPr>
                    <w:tabs>
                      <w:tab w:val="left" w:pos="7647"/>
                    </w:tabs>
                    <w:ind w:left="120" w:hanging="141"/>
                    <w:jc w:val="both"/>
                    <w:textAlignment w:val="baseline"/>
                    <w:rPr>
                      <w:rFonts w:cs="Arial"/>
                      <w:noProof/>
                      <w:szCs w:val="24"/>
                    </w:rPr>
                  </w:pPr>
                  <w:r w:rsidRPr="00BD46D6">
                    <w:rPr>
                      <w:rFonts w:cs="Arial"/>
                      <w:noProof/>
                      <w:szCs w:val="24"/>
                    </w:rPr>
                    <w:t>Vaccine Preparation</w:t>
                  </w:r>
                </w:p>
              </w:tc>
              <w:tc>
                <w:tcPr>
                  <w:tcW w:w="2551" w:type="dxa"/>
                </w:tcPr>
                <w:p w14:paraId="57C0B656" w14:textId="77777777" w:rsidR="00E1441D" w:rsidRPr="00BD46D6" w:rsidRDefault="00E1441D" w:rsidP="00441148">
                  <w:pPr>
                    <w:tabs>
                      <w:tab w:val="left" w:pos="7647"/>
                    </w:tabs>
                    <w:ind w:left="31"/>
                    <w:jc w:val="left"/>
                    <w:rPr>
                      <w:rFonts w:cs="Arial"/>
                      <w:noProof/>
                      <w:sz w:val="24"/>
                      <w:szCs w:val="24"/>
                    </w:rPr>
                  </w:pPr>
                  <w:r w:rsidRPr="00BD46D6">
                    <w:rPr>
                      <w:rFonts w:cs="Arial"/>
                      <w:noProof/>
                      <w:sz w:val="24"/>
                      <w:szCs w:val="24"/>
                    </w:rPr>
                    <w:t>Registered or non-registered persons</w:t>
                  </w:r>
                </w:p>
              </w:tc>
            </w:tr>
            <w:tr w:rsidR="00E1441D" w:rsidRPr="00BD46D6" w14:paraId="03E7451A" w14:textId="77777777" w:rsidTr="00441148">
              <w:tc>
                <w:tcPr>
                  <w:tcW w:w="992" w:type="dxa"/>
                  <w:shd w:val="clear" w:color="auto" w:fill="D9D9D9" w:themeFill="background1" w:themeFillShade="D9"/>
                </w:tcPr>
                <w:p w14:paraId="3E01B0D5" w14:textId="77777777" w:rsidR="00E1441D" w:rsidRPr="00BD46D6" w:rsidRDefault="00E1441D" w:rsidP="00441148">
                  <w:pPr>
                    <w:tabs>
                      <w:tab w:val="left" w:pos="7647"/>
                    </w:tabs>
                    <w:jc w:val="left"/>
                    <w:rPr>
                      <w:rFonts w:cs="Arial"/>
                      <w:sz w:val="24"/>
                      <w:szCs w:val="24"/>
                    </w:rPr>
                  </w:pPr>
                  <w:r w:rsidRPr="00BD46D6">
                    <w:rPr>
                      <w:rFonts w:cs="Arial"/>
                      <w:sz w:val="24"/>
                      <w:szCs w:val="24"/>
                    </w:rPr>
                    <w:t>Stage 3</w:t>
                  </w:r>
                </w:p>
              </w:tc>
              <w:tc>
                <w:tcPr>
                  <w:tcW w:w="5812" w:type="dxa"/>
                </w:tcPr>
                <w:p w14:paraId="61E9BB36" w14:textId="77777777" w:rsidR="00E1441D" w:rsidRPr="00BD46D6" w:rsidRDefault="00E1441D" w:rsidP="00E1441D">
                  <w:pPr>
                    <w:pStyle w:val="ListParagraph"/>
                    <w:numPr>
                      <w:ilvl w:val="0"/>
                      <w:numId w:val="17"/>
                    </w:numPr>
                    <w:tabs>
                      <w:tab w:val="left" w:pos="7647"/>
                    </w:tabs>
                    <w:ind w:left="120" w:hanging="141"/>
                    <w:jc w:val="both"/>
                    <w:textAlignment w:val="baseline"/>
                    <w:rPr>
                      <w:rFonts w:cs="Arial"/>
                      <w:szCs w:val="24"/>
                    </w:rPr>
                  </w:pPr>
                  <w:r w:rsidRPr="00BD46D6">
                    <w:rPr>
                      <w:rFonts w:cs="Arial"/>
                      <w:noProof/>
                      <w:szCs w:val="24"/>
                    </w:rPr>
                    <w:t>Vaccine Administration</w:t>
                  </w:r>
                </w:p>
              </w:tc>
              <w:tc>
                <w:tcPr>
                  <w:tcW w:w="2551" w:type="dxa"/>
                </w:tcPr>
                <w:p w14:paraId="5EBFECAB" w14:textId="77777777" w:rsidR="00E1441D" w:rsidRPr="00BD46D6" w:rsidRDefault="00E1441D" w:rsidP="00441148">
                  <w:pPr>
                    <w:tabs>
                      <w:tab w:val="left" w:pos="7647"/>
                    </w:tabs>
                    <w:ind w:left="31"/>
                    <w:jc w:val="left"/>
                    <w:rPr>
                      <w:rFonts w:cs="Arial"/>
                      <w:noProof/>
                      <w:sz w:val="24"/>
                      <w:szCs w:val="24"/>
                    </w:rPr>
                  </w:pPr>
                  <w:bookmarkStart w:id="5" w:name="_Hlk58066808"/>
                  <w:r w:rsidRPr="00BD46D6">
                    <w:rPr>
                      <w:rFonts w:cs="Arial"/>
                      <w:noProof/>
                      <w:sz w:val="24"/>
                      <w:szCs w:val="24"/>
                    </w:rPr>
                    <w:t>Registered or non-registered persons</w:t>
                  </w:r>
                  <w:bookmarkEnd w:id="5"/>
                </w:p>
              </w:tc>
            </w:tr>
            <w:tr w:rsidR="00E1441D" w:rsidRPr="00BD46D6" w14:paraId="5B774712" w14:textId="77777777" w:rsidTr="00441148">
              <w:tc>
                <w:tcPr>
                  <w:tcW w:w="992" w:type="dxa"/>
                  <w:shd w:val="clear" w:color="auto" w:fill="D9D9D9" w:themeFill="background1" w:themeFillShade="D9"/>
                </w:tcPr>
                <w:p w14:paraId="5A5295EA" w14:textId="77777777" w:rsidR="00E1441D" w:rsidRPr="00BD46D6" w:rsidRDefault="00E1441D" w:rsidP="00441148">
                  <w:pPr>
                    <w:tabs>
                      <w:tab w:val="left" w:pos="7647"/>
                    </w:tabs>
                    <w:jc w:val="both"/>
                    <w:rPr>
                      <w:rFonts w:cs="Arial"/>
                      <w:sz w:val="24"/>
                      <w:szCs w:val="24"/>
                    </w:rPr>
                  </w:pPr>
                  <w:r w:rsidRPr="00BD46D6">
                    <w:rPr>
                      <w:rFonts w:cs="Arial"/>
                      <w:sz w:val="24"/>
                      <w:szCs w:val="24"/>
                    </w:rPr>
                    <w:t>Stage 4</w:t>
                  </w:r>
                </w:p>
              </w:tc>
              <w:tc>
                <w:tcPr>
                  <w:tcW w:w="5812" w:type="dxa"/>
                </w:tcPr>
                <w:p w14:paraId="2D4E16F0" w14:textId="77777777" w:rsidR="00E1441D" w:rsidRPr="00BD46D6" w:rsidRDefault="00E1441D" w:rsidP="00E1441D">
                  <w:pPr>
                    <w:pStyle w:val="ListParagraph"/>
                    <w:numPr>
                      <w:ilvl w:val="0"/>
                      <w:numId w:val="17"/>
                    </w:numPr>
                    <w:tabs>
                      <w:tab w:val="left" w:pos="7647"/>
                    </w:tabs>
                    <w:ind w:left="120" w:hanging="141"/>
                    <w:jc w:val="both"/>
                    <w:textAlignment w:val="baseline"/>
                    <w:rPr>
                      <w:rFonts w:cs="Arial"/>
                      <w:szCs w:val="24"/>
                    </w:rPr>
                  </w:pPr>
                  <w:r w:rsidRPr="00BD46D6">
                    <w:rPr>
                      <w:rFonts w:cs="Arial"/>
                      <w:noProof/>
                      <w:szCs w:val="24"/>
                    </w:rPr>
                    <w:t>Record Keeping</w:t>
                  </w:r>
                </w:p>
              </w:tc>
              <w:tc>
                <w:tcPr>
                  <w:tcW w:w="2551" w:type="dxa"/>
                </w:tcPr>
                <w:p w14:paraId="27D2C25E" w14:textId="77777777" w:rsidR="00E1441D" w:rsidRPr="00BD46D6" w:rsidRDefault="00E1441D" w:rsidP="00441148">
                  <w:pPr>
                    <w:tabs>
                      <w:tab w:val="left" w:pos="7647"/>
                    </w:tabs>
                    <w:ind w:left="31"/>
                    <w:jc w:val="left"/>
                    <w:rPr>
                      <w:rFonts w:cs="Arial"/>
                      <w:noProof/>
                      <w:sz w:val="24"/>
                      <w:szCs w:val="24"/>
                    </w:rPr>
                  </w:pPr>
                  <w:r w:rsidRPr="00BD46D6">
                    <w:rPr>
                      <w:rFonts w:cs="Arial"/>
                      <w:noProof/>
                      <w:sz w:val="24"/>
                      <w:szCs w:val="24"/>
                    </w:rPr>
                    <w:t>Registered or non-registered persons</w:t>
                  </w:r>
                </w:p>
              </w:tc>
            </w:tr>
            <w:bookmarkEnd w:id="3"/>
            <w:bookmarkEnd w:id="4"/>
          </w:tbl>
          <w:p w14:paraId="09EE5CDA" w14:textId="77777777" w:rsidR="00E1441D" w:rsidRDefault="00E1441D" w:rsidP="00441148">
            <w:pPr>
              <w:pStyle w:val="Header"/>
              <w:tabs>
                <w:tab w:val="clear" w:pos="4153"/>
                <w:tab w:val="clear" w:pos="8306"/>
              </w:tabs>
              <w:spacing w:after="60"/>
              <w:contextualSpacing/>
              <w:rPr>
                <w:rFonts w:ascii="Arial" w:hAnsi="Arial" w:cs="Arial"/>
                <w:noProof/>
                <w:szCs w:val="24"/>
              </w:rPr>
            </w:pPr>
          </w:p>
          <w:p w14:paraId="186CCC79" w14:textId="77777777" w:rsidR="004464A4" w:rsidRDefault="004464A4" w:rsidP="00441148">
            <w:pPr>
              <w:pStyle w:val="Header"/>
              <w:tabs>
                <w:tab w:val="clear" w:pos="4153"/>
                <w:tab w:val="clear" w:pos="8306"/>
              </w:tabs>
              <w:spacing w:after="60"/>
              <w:contextualSpacing/>
              <w:rPr>
                <w:rFonts w:ascii="Arial" w:hAnsi="Arial" w:cs="Arial"/>
                <w:noProof/>
                <w:szCs w:val="24"/>
              </w:rPr>
            </w:pPr>
            <w:r>
              <w:rPr>
                <w:rFonts w:ascii="Arial" w:hAnsi="Arial" w:cs="Arial"/>
                <w:noProof/>
                <w:szCs w:val="24"/>
              </w:rPr>
              <w:t xml:space="preserve">Providers are responsible for assessing the competency of, designating and recording the names of all those persons permitted to supply and administer under this protocol. </w:t>
            </w:r>
          </w:p>
          <w:p w14:paraId="20ECF70E" w14:textId="77777777" w:rsidR="004464A4" w:rsidRDefault="004464A4" w:rsidP="00441148">
            <w:pPr>
              <w:pStyle w:val="Header"/>
              <w:tabs>
                <w:tab w:val="clear" w:pos="4153"/>
                <w:tab w:val="clear" w:pos="8306"/>
              </w:tabs>
              <w:spacing w:after="60"/>
              <w:contextualSpacing/>
              <w:rPr>
                <w:rFonts w:ascii="Arial" w:hAnsi="Arial" w:cs="Arial"/>
                <w:noProof/>
                <w:szCs w:val="24"/>
              </w:rPr>
            </w:pPr>
          </w:p>
          <w:p w14:paraId="3DCE974C" w14:textId="77777777" w:rsidR="00ED230D" w:rsidRDefault="00ED230D" w:rsidP="00441148">
            <w:pPr>
              <w:pStyle w:val="Header"/>
              <w:tabs>
                <w:tab w:val="clear" w:pos="4153"/>
                <w:tab w:val="clear" w:pos="8306"/>
              </w:tabs>
              <w:spacing w:after="60"/>
              <w:contextualSpacing/>
              <w:rPr>
                <w:rFonts w:ascii="Arial" w:hAnsi="Arial" w:cs="Arial"/>
                <w:noProof/>
                <w:szCs w:val="24"/>
              </w:rPr>
            </w:pPr>
            <w:r>
              <w:rPr>
                <w:rFonts w:ascii="Arial" w:hAnsi="Arial" w:cs="Arial"/>
                <w:noProof/>
                <w:szCs w:val="24"/>
              </w:rPr>
              <w:t xml:space="preserve">The following </w:t>
            </w:r>
            <w:r w:rsidR="00D23D5D">
              <w:rPr>
                <w:rFonts w:ascii="Arial" w:hAnsi="Arial" w:cs="Arial"/>
                <w:noProof/>
                <w:szCs w:val="24"/>
              </w:rPr>
              <w:t xml:space="preserve">specified </w:t>
            </w:r>
            <w:r>
              <w:rPr>
                <w:rFonts w:ascii="Arial" w:hAnsi="Arial" w:cs="Arial"/>
                <w:noProof/>
                <w:szCs w:val="24"/>
              </w:rPr>
              <w:t xml:space="preserve">registered </w:t>
            </w:r>
            <w:r w:rsidR="00D23D5D">
              <w:rPr>
                <w:rFonts w:ascii="Arial" w:hAnsi="Arial" w:cs="Arial"/>
                <w:noProof/>
                <w:szCs w:val="24"/>
              </w:rPr>
              <w:t xml:space="preserve">health </w:t>
            </w:r>
            <w:r>
              <w:rPr>
                <w:rFonts w:ascii="Arial" w:hAnsi="Arial" w:cs="Arial"/>
                <w:noProof/>
                <w:szCs w:val="24"/>
              </w:rPr>
              <w:t>professionals are permitted to administer under the protocol subject to the requirements set out below:</w:t>
            </w:r>
          </w:p>
          <w:p w14:paraId="398F15D4" w14:textId="77777777" w:rsidR="00ED230D" w:rsidRPr="00BD46D6" w:rsidRDefault="00A2054C" w:rsidP="004B4DDC">
            <w:pPr>
              <w:pStyle w:val="Header"/>
              <w:numPr>
                <w:ilvl w:val="0"/>
                <w:numId w:val="20"/>
              </w:numPr>
              <w:tabs>
                <w:tab w:val="clear" w:pos="4153"/>
                <w:tab w:val="clear" w:pos="8306"/>
              </w:tabs>
              <w:spacing w:after="60"/>
              <w:contextualSpacing/>
              <w:rPr>
                <w:rFonts w:ascii="Arial" w:hAnsi="Arial" w:cs="Arial"/>
                <w:szCs w:val="24"/>
              </w:rPr>
            </w:pPr>
            <w:r>
              <w:rPr>
                <w:rFonts w:ascii="Arial" w:hAnsi="Arial" w:cs="Arial"/>
                <w:szCs w:val="24"/>
              </w:rPr>
              <w:t>N</w:t>
            </w:r>
            <w:r w:rsidRPr="00BD46D6">
              <w:rPr>
                <w:rFonts w:ascii="Arial" w:hAnsi="Arial" w:cs="Arial"/>
                <w:szCs w:val="24"/>
              </w:rPr>
              <w:t>urses</w:t>
            </w:r>
            <w:r w:rsidR="000F012E">
              <w:rPr>
                <w:rFonts w:ascii="Arial" w:hAnsi="Arial" w:cs="Arial"/>
                <w:szCs w:val="24"/>
              </w:rPr>
              <w:t xml:space="preserve"> </w:t>
            </w:r>
            <w:r w:rsidR="00ED230D" w:rsidRPr="00BD46D6">
              <w:rPr>
                <w:rFonts w:ascii="Arial" w:hAnsi="Arial" w:cs="Arial"/>
                <w:szCs w:val="24"/>
              </w:rPr>
              <w:t>and midwives currently registered with the Nursing and Midwifery Council (NMC)</w:t>
            </w:r>
            <w:r>
              <w:rPr>
                <w:rFonts w:ascii="Arial" w:hAnsi="Arial" w:cs="Arial"/>
                <w:szCs w:val="24"/>
              </w:rPr>
              <w:t>.</w:t>
            </w:r>
            <w:r w:rsidR="00ED230D" w:rsidRPr="00BD46D6">
              <w:rPr>
                <w:rFonts w:ascii="Arial" w:hAnsi="Arial" w:cs="Arial"/>
                <w:szCs w:val="24"/>
              </w:rPr>
              <w:t xml:space="preserve"> </w:t>
            </w:r>
          </w:p>
          <w:p w14:paraId="414529FA" w14:textId="77777777" w:rsidR="00ED230D" w:rsidRPr="00BD46D6" w:rsidRDefault="00A2054C" w:rsidP="004B4DDC">
            <w:pPr>
              <w:pStyle w:val="Header"/>
              <w:numPr>
                <w:ilvl w:val="0"/>
                <w:numId w:val="20"/>
              </w:numPr>
              <w:tabs>
                <w:tab w:val="clear" w:pos="4153"/>
                <w:tab w:val="clear" w:pos="8306"/>
              </w:tabs>
              <w:spacing w:after="60"/>
              <w:contextualSpacing/>
              <w:rPr>
                <w:rFonts w:ascii="Arial" w:hAnsi="Arial" w:cs="Arial"/>
                <w:szCs w:val="24"/>
              </w:rPr>
            </w:pPr>
            <w:r>
              <w:rPr>
                <w:rFonts w:ascii="Arial" w:hAnsi="Arial" w:cs="Arial"/>
                <w:szCs w:val="24"/>
              </w:rPr>
              <w:t>P</w:t>
            </w:r>
            <w:r w:rsidRPr="00BD46D6">
              <w:rPr>
                <w:rFonts w:ascii="Arial" w:hAnsi="Arial" w:cs="Arial"/>
                <w:szCs w:val="24"/>
              </w:rPr>
              <w:t xml:space="preserve">harmacists </w:t>
            </w:r>
            <w:r w:rsidR="00ED230D" w:rsidRPr="00BD46D6">
              <w:rPr>
                <w:rFonts w:ascii="Arial" w:hAnsi="Arial" w:cs="Arial"/>
                <w:szCs w:val="24"/>
              </w:rPr>
              <w:t>currently registered with the General Pharmaceutical Council (GPhC)</w:t>
            </w:r>
            <w:r>
              <w:rPr>
                <w:rFonts w:ascii="Arial" w:hAnsi="Arial" w:cs="Arial"/>
                <w:szCs w:val="24"/>
              </w:rPr>
              <w:t>.</w:t>
            </w:r>
          </w:p>
          <w:p w14:paraId="15682BFF" w14:textId="77777777" w:rsidR="00ED230D" w:rsidRDefault="00A2054C" w:rsidP="004B4DDC">
            <w:pPr>
              <w:pStyle w:val="Header"/>
              <w:numPr>
                <w:ilvl w:val="0"/>
                <w:numId w:val="20"/>
              </w:numPr>
              <w:tabs>
                <w:tab w:val="clear" w:pos="4153"/>
                <w:tab w:val="clear" w:pos="8306"/>
              </w:tabs>
              <w:spacing w:after="60"/>
              <w:contextualSpacing/>
              <w:rPr>
                <w:rFonts w:ascii="Arial" w:hAnsi="Arial" w:cs="Arial"/>
                <w:szCs w:val="24"/>
              </w:rPr>
            </w:pPr>
            <w:r>
              <w:rPr>
                <w:rFonts w:ascii="Arial" w:hAnsi="Arial" w:cs="Arial"/>
                <w:szCs w:val="24"/>
              </w:rPr>
              <w:t>C</w:t>
            </w:r>
            <w:r w:rsidRPr="00BD46D6">
              <w:rPr>
                <w:rFonts w:ascii="Arial" w:hAnsi="Arial" w:cs="Arial"/>
                <w:szCs w:val="24"/>
              </w:rPr>
              <w:t>hiropodists</w:t>
            </w:r>
            <w:r w:rsidR="00ED230D" w:rsidRPr="00BD46D6">
              <w:rPr>
                <w:rFonts w:ascii="Arial" w:hAnsi="Arial" w:cs="Arial"/>
                <w:szCs w:val="24"/>
              </w:rPr>
              <w:t>/podiatrists, dieticians, occupational therapists, operating department practitioners, orthoptists, orthotists/prosthetists, paramedics, physiotherapists, radiographers and speech and language therapists currently registered with the Health and Care Professions Council (HCPC)</w:t>
            </w:r>
            <w:r>
              <w:rPr>
                <w:rFonts w:ascii="Arial" w:hAnsi="Arial" w:cs="Arial"/>
                <w:szCs w:val="24"/>
              </w:rPr>
              <w:t>.</w:t>
            </w:r>
            <w:r w:rsidR="00ED230D" w:rsidRPr="00BD46D6">
              <w:rPr>
                <w:rFonts w:ascii="Arial" w:hAnsi="Arial" w:cs="Arial"/>
                <w:szCs w:val="24"/>
              </w:rPr>
              <w:t xml:space="preserve"> </w:t>
            </w:r>
          </w:p>
          <w:p w14:paraId="586C96C0" w14:textId="77777777" w:rsidR="00ED230D" w:rsidRPr="00BD46D6" w:rsidRDefault="00A2054C" w:rsidP="004B4DDC">
            <w:pPr>
              <w:pStyle w:val="Header"/>
              <w:numPr>
                <w:ilvl w:val="0"/>
                <w:numId w:val="20"/>
              </w:numPr>
              <w:tabs>
                <w:tab w:val="clear" w:pos="4153"/>
                <w:tab w:val="clear" w:pos="8306"/>
              </w:tabs>
              <w:spacing w:after="60"/>
              <w:contextualSpacing/>
              <w:rPr>
                <w:rFonts w:ascii="Arial" w:hAnsi="Arial" w:cs="Arial"/>
                <w:szCs w:val="24"/>
              </w:rPr>
            </w:pPr>
            <w:r>
              <w:rPr>
                <w:rFonts w:ascii="Arial" w:hAnsi="Arial" w:cs="Arial"/>
                <w:szCs w:val="24"/>
              </w:rPr>
              <w:t>D</w:t>
            </w:r>
            <w:r w:rsidRPr="00BD46D6">
              <w:rPr>
                <w:rFonts w:ascii="Arial" w:hAnsi="Arial" w:cs="Arial"/>
                <w:szCs w:val="24"/>
              </w:rPr>
              <w:t xml:space="preserve">ental </w:t>
            </w:r>
            <w:r w:rsidR="00ED230D" w:rsidRPr="00BD46D6">
              <w:rPr>
                <w:rFonts w:ascii="Arial" w:hAnsi="Arial" w:cs="Arial"/>
                <w:szCs w:val="24"/>
              </w:rPr>
              <w:t>hygienists and dental therapists registered with the General Dental Council</w:t>
            </w:r>
            <w:r>
              <w:rPr>
                <w:rFonts w:ascii="Arial" w:hAnsi="Arial" w:cs="Arial"/>
                <w:szCs w:val="24"/>
              </w:rPr>
              <w:t>.</w:t>
            </w:r>
            <w:r w:rsidR="00ED230D" w:rsidRPr="00BD46D6">
              <w:rPr>
                <w:rFonts w:ascii="Arial" w:hAnsi="Arial" w:cs="Arial"/>
                <w:szCs w:val="24"/>
              </w:rPr>
              <w:t xml:space="preserve"> </w:t>
            </w:r>
          </w:p>
          <w:p w14:paraId="58E017AB" w14:textId="77777777" w:rsidR="00ED230D" w:rsidRPr="00BD46D6" w:rsidRDefault="00A2054C" w:rsidP="004B4DDC">
            <w:pPr>
              <w:pStyle w:val="Header"/>
              <w:numPr>
                <w:ilvl w:val="0"/>
                <w:numId w:val="20"/>
              </w:numPr>
              <w:tabs>
                <w:tab w:val="clear" w:pos="4153"/>
                <w:tab w:val="clear" w:pos="8306"/>
              </w:tabs>
              <w:spacing w:after="60"/>
              <w:contextualSpacing/>
              <w:rPr>
                <w:rFonts w:ascii="Arial" w:hAnsi="Arial" w:cs="Arial"/>
                <w:szCs w:val="24"/>
              </w:rPr>
            </w:pPr>
            <w:r>
              <w:rPr>
                <w:rFonts w:ascii="Arial" w:hAnsi="Arial" w:cs="Arial"/>
                <w:szCs w:val="24"/>
              </w:rPr>
              <w:t>O</w:t>
            </w:r>
            <w:r w:rsidRPr="00BD46D6">
              <w:rPr>
                <w:rFonts w:ascii="Arial" w:hAnsi="Arial" w:cs="Arial"/>
                <w:szCs w:val="24"/>
              </w:rPr>
              <w:t xml:space="preserve">ptometrists </w:t>
            </w:r>
            <w:r w:rsidR="00ED230D" w:rsidRPr="00BD46D6">
              <w:rPr>
                <w:rFonts w:ascii="Arial" w:hAnsi="Arial" w:cs="Arial"/>
                <w:szCs w:val="24"/>
              </w:rPr>
              <w:t xml:space="preserve">registered with the General Optical Council. </w:t>
            </w:r>
          </w:p>
          <w:p w14:paraId="27F8E5BF" w14:textId="77777777" w:rsidR="00046FDB" w:rsidRPr="00046FDB" w:rsidRDefault="00046FDB" w:rsidP="004B4DDC">
            <w:pPr>
              <w:pStyle w:val="ListParagraph"/>
              <w:numPr>
                <w:ilvl w:val="0"/>
                <w:numId w:val="20"/>
              </w:numPr>
              <w:spacing w:after="160"/>
              <w:rPr>
                <w:rFonts w:cs="Arial"/>
              </w:rPr>
            </w:pPr>
            <w:r w:rsidRPr="00046FDB">
              <w:rPr>
                <w:rFonts w:cs="Arial"/>
              </w:rPr>
              <w:t>Doctors currently registered with General Medical Council</w:t>
            </w:r>
            <w:r w:rsidR="00A2054C">
              <w:rPr>
                <w:rFonts w:cs="Arial"/>
              </w:rPr>
              <w:t>.</w:t>
            </w:r>
          </w:p>
          <w:p w14:paraId="12929613" w14:textId="77777777" w:rsidR="00046FDB" w:rsidRPr="00046FDB" w:rsidRDefault="00046FDB" w:rsidP="004B4DDC">
            <w:pPr>
              <w:pStyle w:val="ListParagraph"/>
              <w:numPr>
                <w:ilvl w:val="0"/>
                <w:numId w:val="20"/>
              </w:numPr>
              <w:spacing w:after="160"/>
              <w:rPr>
                <w:rFonts w:cs="Arial"/>
              </w:rPr>
            </w:pPr>
            <w:r w:rsidRPr="00046FDB">
              <w:rPr>
                <w:rFonts w:cs="Arial"/>
              </w:rPr>
              <w:t>Dentists currently registered with General Dental Council</w:t>
            </w:r>
            <w:r w:rsidR="00A2054C">
              <w:rPr>
                <w:rFonts w:cs="Arial"/>
              </w:rPr>
              <w:t>.</w:t>
            </w:r>
          </w:p>
          <w:p w14:paraId="1C940789" w14:textId="77777777" w:rsidR="00ED230D" w:rsidRDefault="00ED230D" w:rsidP="00441148">
            <w:pPr>
              <w:pStyle w:val="Header"/>
              <w:tabs>
                <w:tab w:val="clear" w:pos="4153"/>
                <w:tab w:val="clear" w:pos="8306"/>
              </w:tabs>
              <w:spacing w:after="60"/>
              <w:contextualSpacing/>
              <w:rPr>
                <w:rFonts w:ascii="Arial" w:hAnsi="Arial" w:cs="Arial"/>
                <w:noProof/>
                <w:szCs w:val="24"/>
              </w:rPr>
            </w:pPr>
          </w:p>
          <w:p w14:paraId="75F1C1D2" w14:textId="77777777" w:rsidR="00807D1D" w:rsidRPr="00807D1D" w:rsidRDefault="00807D1D" w:rsidP="00807D1D">
            <w:pPr>
              <w:pStyle w:val="Header"/>
              <w:spacing w:after="60"/>
              <w:contextualSpacing/>
              <w:rPr>
                <w:rFonts w:ascii="Arial" w:hAnsi="Arial" w:cs="Arial"/>
              </w:rPr>
            </w:pPr>
            <w:r w:rsidRPr="00807D1D">
              <w:rPr>
                <w:rFonts w:ascii="Arial" w:hAnsi="Arial" w:cs="Arial"/>
              </w:rPr>
              <w:t>The following professionals (who are in the main non-registered) are permitted to administer under the protocol with appropriate supervision as set out below, subject to the requirements set out below</w:t>
            </w:r>
          </w:p>
          <w:p w14:paraId="56A59830" w14:textId="77777777" w:rsidR="00807D1D" w:rsidRPr="00807D1D" w:rsidRDefault="00807D1D" w:rsidP="004B4DDC">
            <w:pPr>
              <w:pStyle w:val="Header"/>
              <w:numPr>
                <w:ilvl w:val="0"/>
                <w:numId w:val="20"/>
              </w:numPr>
              <w:tabs>
                <w:tab w:val="clear" w:pos="4153"/>
                <w:tab w:val="clear" w:pos="8306"/>
              </w:tabs>
              <w:adjustRightInd/>
              <w:spacing w:after="60"/>
              <w:contextualSpacing/>
              <w:textAlignment w:val="auto"/>
              <w:rPr>
                <w:rFonts w:ascii="Arial" w:hAnsi="Arial" w:cs="Arial"/>
              </w:rPr>
            </w:pPr>
            <w:r w:rsidRPr="00807D1D">
              <w:rPr>
                <w:rFonts w:ascii="Arial" w:hAnsi="Arial" w:cs="Arial"/>
              </w:rPr>
              <w:t>Healthcare support workers</w:t>
            </w:r>
            <w:r w:rsidR="00E27718">
              <w:rPr>
                <w:rFonts w:ascii="Arial" w:hAnsi="Arial" w:cs="Arial"/>
              </w:rPr>
              <w:t>.</w:t>
            </w:r>
          </w:p>
          <w:p w14:paraId="29CC4FDE" w14:textId="77777777" w:rsidR="00807D1D" w:rsidRPr="00807D1D" w:rsidRDefault="00E27718" w:rsidP="004B4DDC">
            <w:pPr>
              <w:pStyle w:val="Header"/>
              <w:numPr>
                <w:ilvl w:val="0"/>
                <w:numId w:val="20"/>
              </w:numPr>
              <w:tabs>
                <w:tab w:val="clear" w:pos="4153"/>
                <w:tab w:val="clear" w:pos="8306"/>
              </w:tabs>
              <w:adjustRightInd/>
              <w:spacing w:after="60"/>
              <w:contextualSpacing/>
              <w:textAlignment w:val="auto"/>
              <w:rPr>
                <w:rFonts w:ascii="Arial" w:hAnsi="Arial" w:cs="Arial"/>
              </w:rPr>
            </w:pPr>
            <w:r>
              <w:rPr>
                <w:rFonts w:ascii="Arial" w:hAnsi="Arial" w:cs="Arial"/>
              </w:rPr>
              <w:t>Pharmacy technicians, p</w:t>
            </w:r>
            <w:r w:rsidR="00807D1D" w:rsidRPr="00807D1D">
              <w:rPr>
                <w:rFonts w:ascii="Arial" w:hAnsi="Arial" w:cs="Arial"/>
              </w:rPr>
              <w:t xml:space="preserve">rovisionally registered pharmacists, </w:t>
            </w:r>
            <w:r>
              <w:rPr>
                <w:rFonts w:ascii="Arial" w:hAnsi="Arial" w:cs="Arial"/>
              </w:rPr>
              <w:t>pre-registration pharmacists</w:t>
            </w:r>
            <w:r w:rsidR="00807D1D" w:rsidRPr="00807D1D">
              <w:rPr>
                <w:rFonts w:ascii="Arial" w:hAnsi="Arial" w:cs="Arial"/>
              </w:rPr>
              <w:t xml:space="preserve"> and other pharmacy support practitioners</w:t>
            </w:r>
            <w:r>
              <w:rPr>
                <w:rFonts w:ascii="Arial" w:hAnsi="Arial" w:cs="Arial"/>
              </w:rPr>
              <w:t>.</w:t>
            </w:r>
          </w:p>
          <w:p w14:paraId="1E20B6BE" w14:textId="77777777" w:rsidR="00807D1D" w:rsidRPr="00807D1D" w:rsidRDefault="00807D1D" w:rsidP="004B4DDC">
            <w:pPr>
              <w:pStyle w:val="Header"/>
              <w:numPr>
                <w:ilvl w:val="0"/>
                <w:numId w:val="20"/>
              </w:numPr>
              <w:tabs>
                <w:tab w:val="clear" w:pos="4153"/>
                <w:tab w:val="clear" w:pos="8306"/>
              </w:tabs>
              <w:adjustRightInd/>
              <w:spacing w:after="60"/>
              <w:contextualSpacing/>
              <w:textAlignment w:val="auto"/>
              <w:rPr>
                <w:rFonts w:ascii="Arial" w:hAnsi="Arial" w:cs="Arial"/>
              </w:rPr>
            </w:pPr>
            <w:r w:rsidRPr="00807D1D">
              <w:rPr>
                <w:rFonts w:ascii="Arial" w:hAnsi="Arial" w:cs="Arial"/>
              </w:rPr>
              <w:t>Retired clinical practitioners such as doctors, dentists, pharmacists, nurses, optometrists, chiropodists/podiatrists, dieticians, occupational therapists, orthoptists, orthotists/prosthetists, paramedics, pharmacy technicians, physiotherapists, radiographers, speech and language therapists, dental hygienists and dental therapists not currently registered</w:t>
            </w:r>
            <w:r w:rsidR="00E27718">
              <w:rPr>
                <w:rFonts w:ascii="Arial" w:hAnsi="Arial" w:cs="Arial"/>
              </w:rPr>
              <w:t>.</w:t>
            </w:r>
          </w:p>
          <w:p w14:paraId="680F4840" w14:textId="77777777" w:rsidR="00807D1D" w:rsidRDefault="00807D1D" w:rsidP="004B4DDC">
            <w:pPr>
              <w:pStyle w:val="Header"/>
              <w:numPr>
                <w:ilvl w:val="0"/>
                <w:numId w:val="20"/>
              </w:numPr>
              <w:tabs>
                <w:tab w:val="clear" w:pos="4153"/>
                <w:tab w:val="clear" w:pos="8306"/>
              </w:tabs>
              <w:adjustRightInd/>
              <w:spacing w:after="60"/>
              <w:contextualSpacing/>
              <w:textAlignment w:val="auto"/>
              <w:rPr>
                <w:rFonts w:ascii="Arial" w:hAnsi="Arial" w:cs="Arial"/>
              </w:rPr>
            </w:pPr>
            <w:r w:rsidRPr="00807D1D">
              <w:rPr>
                <w:rFonts w:ascii="Arial" w:hAnsi="Arial" w:cs="Arial"/>
              </w:rPr>
              <w:t xml:space="preserve">Student doctors, dentists, pharmacists, nurses, </w:t>
            </w:r>
            <w:r w:rsidR="00E27718">
              <w:rPr>
                <w:rFonts w:ascii="Arial" w:hAnsi="Arial" w:cs="Arial"/>
              </w:rPr>
              <w:t xml:space="preserve">midwives, </w:t>
            </w:r>
            <w:r w:rsidRPr="00807D1D">
              <w:rPr>
                <w:rFonts w:ascii="Arial" w:hAnsi="Arial" w:cs="Arial"/>
              </w:rPr>
              <w:t>optometrists, chiropodists/podiatrists, dieticians, occupational therapists, orthoptists, orthotists/prosthetists, paramedics, physiotherapists, radiographers, speech and language therapists, dental hygienists and dental therapists not currently registered</w:t>
            </w:r>
            <w:r w:rsidR="00E27718">
              <w:rPr>
                <w:rFonts w:ascii="Arial" w:hAnsi="Arial" w:cs="Arial"/>
              </w:rPr>
              <w:t>.</w:t>
            </w:r>
          </w:p>
          <w:p w14:paraId="2D53A60E" w14:textId="77777777" w:rsidR="00A2054C" w:rsidRDefault="00A2054C" w:rsidP="004B4DDC">
            <w:pPr>
              <w:pStyle w:val="Header"/>
              <w:numPr>
                <w:ilvl w:val="0"/>
                <w:numId w:val="20"/>
              </w:numPr>
              <w:tabs>
                <w:tab w:val="clear" w:pos="4153"/>
                <w:tab w:val="clear" w:pos="8306"/>
              </w:tabs>
              <w:adjustRightInd/>
              <w:spacing w:after="60"/>
              <w:contextualSpacing/>
              <w:textAlignment w:val="auto"/>
              <w:rPr>
                <w:rFonts w:ascii="Arial" w:hAnsi="Arial" w:cs="Arial"/>
              </w:rPr>
            </w:pPr>
            <w:r>
              <w:rPr>
                <w:rFonts w:ascii="Arial" w:hAnsi="Arial" w:cs="Arial"/>
              </w:rPr>
              <w:t xml:space="preserve">Healthcare Scientists. </w:t>
            </w:r>
          </w:p>
          <w:p w14:paraId="7D1622A7" w14:textId="77777777" w:rsidR="00A2054C" w:rsidRDefault="00A2054C" w:rsidP="004B4DDC">
            <w:pPr>
              <w:pStyle w:val="Header"/>
              <w:numPr>
                <w:ilvl w:val="0"/>
                <w:numId w:val="20"/>
              </w:numPr>
              <w:tabs>
                <w:tab w:val="clear" w:pos="4153"/>
                <w:tab w:val="clear" w:pos="8306"/>
              </w:tabs>
              <w:adjustRightInd/>
              <w:spacing w:after="60"/>
              <w:contextualSpacing/>
              <w:textAlignment w:val="auto"/>
              <w:rPr>
                <w:rFonts w:ascii="Arial" w:hAnsi="Arial" w:cs="Arial"/>
              </w:rPr>
            </w:pPr>
            <w:r>
              <w:rPr>
                <w:rFonts w:ascii="Arial" w:hAnsi="Arial" w:cs="Arial"/>
              </w:rPr>
              <w:t>Dental nurses.</w:t>
            </w:r>
          </w:p>
          <w:p w14:paraId="553C4A04" w14:textId="77777777" w:rsidR="00A2054C" w:rsidRPr="00807D1D" w:rsidRDefault="00A2054C" w:rsidP="004B4DDC">
            <w:pPr>
              <w:pStyle w:val="Header"/>
              <w:numPr>
                <w:ilvl w:val="0"/>
                <w:numId w:val="20"/>
              </w:numPr>
              <w:tabs>
                <w:tab w:val="clear" w:pos="4153"/>
                <w:tab w:val="clear" w:pos="8306"/>
              </w:tabs>
              <w:adjustRightInd/>
              <w:spacing w:after="60"/>
              <w:contextualSpacing/>
              <w:textAlignment w:val="auto"/>
              <w:rPr>
                <w:rFonts w:ascii="Arial" w:hAnsi="Arial" w:cs="Arial"/>
              </w:rPr>
            </w:pPr>
            <w:r>
              <w:rPr>
                <w:rFonts w:ascii="Arial" w:hAnsi="Arial" w:cs="Arial"/>
              </w:rPr>
              <w:t xml:space="preserve">Physician’s assistants. </w:t>
            </w:r>
          </w:p>
          <w:p w14:paraId="04F06448" w14:textId="77777777" w:rsidR="00D920F1" w:rsidRPr="00BD46D6" w:rsidRDefault="00D920F1" w:rsidP="00441148">
            <w:pPr>
              <w:pStyle w:val="Header"/>
              <w:tabs>
                <w:tab w:val="clear" w:pos="4153"/>
                <w:tab w:val="clear" w:pos="8306"/>
              </w:tabs>
              <w:spacing w:after="60"/>
              <w:contextualSpacing/>
              <w:rPr>
                <w:rFonts w:ascii="Arial" w:hAnsi="Arial" w:cs="Arial"/>
                <w:noProof/>
                <w:szCs w:val="24"/>
              </w:rPr>
            </w:pPr>
          </w:p>
          <w:p w14:paraId="1543D60E" w14:textId="77777777" w:rsidR="00BD46D6" w:rsidRDefault="00ED230D" w:rsidP="00441148">
            <w:pPr>
              <w:pStyle w:val="Header"/>
              <w:tabs>
                <w:tab w:val="clear" w:pos="4153"/>
                <w:tab w:val="clear" w:pos="8306"/>
              </w:tabs>
              <w:spacing w:after="60"/>
              <w:contextualSpacing/>
              <w:rPr>
                <w:rFonts w:ascii="Arial" w:hAnsi="Arial" w:cs="Arial"/>
                <w:szCs w:val="24"/>
              </w:rPr>
            </w:pPr>
            <w:r>
              <w:rPr>
                <w:rFonts w:ascii="Arial" w:hAnsi="Arial" w:cs="Arial"/>
                <w:szCs w:val="24"/>
              </w:rPr>
              <w:t>All t</w:t>
            </w:r>
            <w:r w:rsidR="00BD46D6" w:rsidRPr="00BD46D6">
              <w:rPr>
                <w:rFonts w:ascii="Arial" w:hAnsi="Arial" w:cs="Arial"/>
                <w:szCs w:val="24"/>
              </w:rPr>
              <w:t xml:space="preserve">hose working under this protocol must have undertaken training, be assessed as competent and receive supervision appropriate to the stage of activity they are undertaking. Where multiple person models are used, the </w:t>
            </w:r>
            <w:r w:rsidR="00BD46D6">
              <w:rPr>
                <w:rFonts w:ascii="Arial" w:hAnsi="Arial" w:cs="Arial"/>
                <w:szCs w:val="24"/>
              </w:rPr>
              <w:t>provider</w:t>
            </w:r>
            <w:r w:rsidR="00BD46D6" w:rsidRPr="00BD46D6">
              <w:rPr>
                <w:rFonts w:ascii="Arial" w:hAnsi="Arial" w:cs="Arial"/>
                <w:szCs w:val="24"/>
              </w:rPr>
              <w:t xml:space="preserve"> must ensure that all elements of the protocol are complied with in the provision of vaccination to each individual. The </w:t>
            </w:r>
            <w:r w:rsidR="00BD46D6">
              <w:rPr>
                <w:rFonts w:ascii="Arial" w:hAnsi="Arial" w:cs="Arial"/>
                <w:szCs w:val="24"/>
              </w:rPr>
              <w:t xml:space="preserve">provider </w:t>
            </w:r>
            <w:r w:rsidR="00BD46D6" w:rsidRPr="00BD46D6">
              <w:rPr>
                <w:rFonts w:ascii="Arial" w:hAnsi="Arial" w:cs="Arial"/>
                <w:szCs w:val="24"/>
              </w:rPr>
              <w:t xml:space="preserve">is responsible for ensuring that persons are trained and competent to safely deliver the activity they are employed to provide under this protocol. As a minimum, competence requirements stipulated in the protocol must be adhered to. </w:t>
            </w:r>
          </w:p>
          <w:p w14:paraId="66779DE4" w14:textId="77777777" w:rsidR="00BD46D6" w:rsidRDefault="00BD46D6" w:rsidP="00441148">
            <w:pPr>
              <w:pStyle w:val="Header"/>
              <w:tabs>
                <w:tab w:val="clear" w:pos="4153"/>
                <w:tab w:val="clear" w:pos="8306"/>
              </w:tabs>
              <w:spacing w:after="60"/>
              <w:contextualSpacing/>
              <w:rPr>
                <w:rFonts w:ascii="Arial" w:hAnsi="Arial" w:cs="Arial"/>
                <w:szCs w:val="24"/>
              </w:rPr>
            </w:pPr>
          </w:p>
          <w:p w14:paraId="15F1269F" w14:textId="77777777" w:rsidR="00E24FB2" w:rsidRDefault="00E24FB2" w:rsidP="00E24FB2">
            <w:pPr>
              <w:pStyle w:val="Header"/>
              <w:tabs>
                <w:tab w:val="clear" w:pos="4153"/>
                <w:tab w:val="clear" w:pos="8306"/>
              </w:tabs>
              <w:spacing w:after="60"/>
              <w:contextualSpacing/>
              <w:rPr>
                <w:rFonts w:ascii="Arial" w:hAnsi="Arial" w:cs="Arial"/>
                <w:szCs w:val="24"/>
              </w:rPr>
            </w:pPr>
            <w:r w:rsidRPr="00BD46D6">
              <w:rPr>
                <w:rFonts w:ascii="Arial" w:hAnsi="Arial" w:cs="Arial"/>
                <w:szCs w:val="24"/>
              </w:rPr>
              <w:t xml:space="preserve">All persons must be </w:t>
            </w:r>
            <w:r>
              <w:rPr>
                <w:rFonts w:ascii="Arial" w:hAnsi="Arial" w:cs="Arial"/>
                <w:szCs w:val="24"/>
              </w:rPr>
              <w:t>designate</w:t>
            </w:r>
            <w:r w:rsidRPr="00BD46D6">
              <w:rPr>
                <w:rFonts w:ascii="Arial" w:hAnsi="Arial" w:cs="Arial"/>
                <w:szCs w:val="24"/>
              </w:rPr>
              <w:t>d by name</w:t>
            </w:r>
            <w:r>
              <w:rPr>
                <w:rFonts w:ascii="Arial" w:hAnsi="Arial" w:cs="Arial"/>
                <w:szCs w:val="24"/>
              </w:rPr>
              <w:t xml:space="preserve"> by the provider</w:t>
            </w:r>
            <w:r w:rsidRPr="00BD46D6">
              <w:rPr>
                <w:rFonts w:ascii="Arial" w:hAnsi="Arial" w:cs="Arial"/>
                <w:szCs w:val="24"/>
              </w:rPr>
              <w:t xml:space="preserve"> as an approved person under the current terms of this protocol before working to it</w:t>
            </w:r>
            <w:r>
              <w:rPr>
                <w:rFonts w:ascii="Arial" w:hAnsi="Arial" w:cs="Arial"/>
                <w:szCs w:val="24"/>
              </w:rPr>
              <w:t xml:space="preserve">, and listed </w:t>
            </w:r>
            <w:r w:rsidRPr="00BD46D6">
              <w:rPr>
                <w:rFonts w:ascii="Arial" w:hAnsi="Arial" w:cs="Arial"/>
                <w:szCs w:val="24"/>
              </w:rPr>
              <w:t>on the practitioner</w:t>
            </w:r>
            <w:r>
              <w:rPr>
                <w:rFonts w:ascii="Arial" w:hAnsi="Arial" w:cs="Arial"/>
                <w:szCs w:val="24"/>
              </w:rPr>
              <w:t xml:space="preserve"> authorisation sheet in Annex B</w:t>
            </w:r>
            <w:r w:rsidRPr="00904DEC">
              <w:rPr>
                <w:rFonts w:ascii="Arial" w:hAnsi="Arial" w:cs="Arial"/>
                <w:szCs w:val="24"/>
              </w:rPr>
              <w:t>.  All staff listed on the sheet will be covered by NHS indemnity extended by the Health Board who is responsible for the COVID 19 vaccination programme in that locality.  Protocols do not remove inherent obligations or accountability. All practitioners operating under this protocol must work within their terms of employment at all times; registered healthcare professionals should also abide by their professional code of conduct.</w:t>
            </w:r>
            <w:r w:rsidRPr="00BD46D6">
              <w:rPr>
                <w:rFonts w:ascii="Arial" w:hAnsi="Arial" w:cs="Arial"/>
                <w:szCs w:val="24"/>
              </w:rPr>
              <w:t xml:space="preserve"> </w:t>
            </w:r>
          </w:p>
          <w:p w14:paraId="5F635FBA" w14:textId="77777777" w:rsidR="00BD46D6" w:rsidRDefault="00BD46D6" w:rsidP="00441148">
            <w:pPr>
              <w:pStyle w:val="Header"/>
              <w:tabs>
                <w:tab w:val="clear" w:pos="4153"/>
                <w:tab w:val="clear" w:pos="8306"/>
              </w:tabs>
              <w:spacing w:after="60"/>
              <w:contextualSpacing/>
              <w:rPr>
                <w:rFonts w:ascii="Arial" w:hAnsi="Arial" w:cs="Arial"/>
                <w:szCs w:val="24"/>
              </w:rPr>
            </w:pPr>
          </w:p>
          <w:p w14:paraId="025C44BB" w14:textId="77777777" w:rsidR="00BD46D6" w:rsidRPr="00BD46D6" w:rsidRDefault="00BD46D6" w:rsidP="00441148">
            <w:pPr>
              <w:pStyle w:val="Header"/>
              <w:tabs>
                <w:tab w:val="clear" w:pos="4153"/>
                <w:tab w:val="clear" w:pos="8306"/>
              </w:tabs>
              <w:spacing w:after="60"/>
              <w:contextualSpacing/>
              <w:rPr>
                <w:rFonts w:ascii="Arial" w:hAnsi="Arial" w:cs="Arial"/>
                <w:szCs w:val="24"/>
              </w:rPr>
            </w:pPr>
            <w:r w:rsidRPr="00BD46D6">
              <w:rPr>
                <w:rFonts w:ascii="Arial" w:hAnsi="Arial" w:cs="Arial"/>
                <w:szCs w:val="24"/>
              </w:rPr>
              <w:t>There are three underpinning principles to which every person undertaking activities under the remit of this protocol must adhere</w:t>
            </w:r>
          </w:p>
          <w:p w14:paraId="28C56B77" w14:textId="77777777" w:rsidR="00BD46D6" w:rsidRPr="00BD46D6" w:rsidRDefault="00BD46D6" w:rsidP="00441148">
            <w:pPr>
              <w:pStyle w:val="Header"/>
              <w:tabs>
                <w:tab w:val="clear" w:pos="4153"/>
                <w:tab w:val="clear" w:pos="8306"/>
              </w:tabs>
              <w:spacing w:after="60"/>
              <w:contextualSpacing/>
              <w:rPr>
                <w:rFonts w:ascii="Arial" w:hAnsi="Arial" w:cs="Arial"/>
                <w:szCs w:val="24"/>
              </w:rPr>
            </w:pPr>
          </w:p>
          <w:p w14:paraId="38B86A2F" w14:textId="77777777" w:rsidR="00BD46D6" w:rsidRPr="00BD46D6" w:rsidRDefault="00332D60" w:rsidP="00441148">
            <w:pPr>
              <w:pStyle w:val="Header"/>
              <w:tabs>
                <w:tab w:val="clear" w:pos="4153"/>
                <w:tab w:val="clear" w:pos="8306"/>
              </w:tabs>
              <w:spacing w:after="60"/>
              <w:contextualSpacing/>
              <w:rPr>
                <w:rFonts w:ascii="Arial" w:hAnsi="Arial" w:cs="Arial"/>
                <w:szCs w:val="24"/>
              </w:rPr>
            </w:pPr>
            <w:r>
              <w:rPr>
                <w:rFonts w:ascii="Arial" w:hAnsi="Arial" w:cs="Arial"/>
                <w:szCs w:val="24"/>
              </w:rPr>
              <w:t xml:space="preserve">1. </w:t>
            </w:r>
            <w:r w:rsidR="00BD46D6" w:rsidRPr="00BD46D6">
              <w:rPr>
                <w:rFonts w:ascii="Arial" w:hAnsi="Arial" w:cs="Arial"/>
                <w:szCs w:val="24"/>
              </w:rPr>
              <w:t xml:space="preserve">Training </w:t>
            </w:r>
          </w:p>
          <w:p w14:paraId="15CE4F2A" w14:textId="77777777" w:rsidR="00D920F1"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They must have undertaken training appropriate to this protocol and relevant to their role, as required by local policy and health board standard operating procedures and in line with the training recommendations for COVID-19 vaccinators. </w:t>
            </w:r>
          </w:p>
          <w:p w14:paraId="26BFB9AE" w14:textId="77777777" w:rsidR="00D920F1" w:rsidRPr="00E34CC3" w:rsidRDefault="00D920F1" w:rsidP="004B4DDC">
            <w:pPr>
              <w:pStyle w:val="Header"/>
              <w:numPr>
                <w:ilvl w:val="0"/>
                <w:numId w:val="20"/>
              </w:numPr>
              <w:tabs>
                <w:tab w:val="clear" w:pos="4153"/>
                <w:tab w:val="clear" w:pos="8306"/>
              </w:tabs>
              <w:spacing w:after="60"/>
              <w:contextualSpacing/>
              <w:rPr>
                <w:rFonts w:ascii="Arial" w:hAnsi="Arial" w:cs="Arial"/>
                <w:szCs w:val="24"/>
              </w:rPr>
            </w:pPr>
            <w:r w:rsidRPr="00E34CC3">
              <w:rPr>
                <w:rFonts w:ascii="Arial" w:hAnsi="Arial" w:cs="Arial"/>
                <w:szCs w:val="24"/>
              </w:rPr>
              <w:t xml:space="preserve">They </w:t>
            </w:r>
            <w:r w:rsidRPr="00E34CC3">
              <w:rPr>
                <w:rFonts w:ascii="Arial" w:eastAsia="Arial" w:hAnsi="Arial" w:cs="Arial"/>
                <w:szCs w:val="24"/>
              </w:rPr>
              <w:t xml:space="preserve">must have met the requirements set out in the </w:t>
            </w:r>
            <w:r w:rsidRPr="00E34CC3">
              <w:rPr>
                <w:rFonts w:ascii="Arial" w:hAnsi="Arial" w:cs="Arial"/>
                <w:szCs w:val="24"/>
              </w:rPr>
              <w:t>NES Proficiency document -COVID-19 vaccine administration for registered staff or the NES Proficiency document –COVID-19 vaccine administration- Healthcare support workers</w:t>
            </w:r>
            <w:r w:rsidRPr="00E34CC3">
              <w:rPr>
                <w:szCs w:val="24"/>
              </w:rPr>
              <w:t xml:space="preserve"> </w:t>
            </w:r>
          </w:p>
          <w:p w14:paraId="2442FD43" w14:textId="77777777" w:rsidR="00BD46D6" w:rsidRPr="00BD46D6" w:rsidRDefault="00BD46D6" w:rsidP="00BD46D6">
            <w:pPr>
              <w:pStyle w:val="Header"/>
              <w:tabs>
                <w:tab w:val="clear" w:pos="4153"/>
                <w:tab w:val="clear" w:pos="8306"/>
              </w:tabs>
              <w:spacing w:after="60"/>
              <w:ind w:left="360"/>
              <w:contextualSpacing/>
              <w:rPr>
                <w:rFonts w:ascii="Arial" w:hAnsi="Arial" w:cs="Arial"/>
                <w:noProof/>
                <w:szCs w:val="24"/>
              </w:rPr>
            </w:pPr>
          </w:p>
          <w:p w14:paraId="38FABDE5" w14:textId="77777777" w:rsidR="008A0510" w:rsidRPr="00BD46D6" w:rsidRDefault="008A0510" w:rsidP="008A0510">
            <w:pPr>
              <w:pStyle w:val="Header"/>
              <w:tabs>
                <w:tab w:val="clear" w:pos="4153"/>
                <w:tab w:val="clear" w:pos="8306"/>
              </w:tabs>
              <w:spacing w:after="60"/>
              <w:contextualSpacing/>
              <w:rPr>
                <w:rFonts w:ascii="Arial" w:hAnsi="Arial" w:cs="Arial"/>
                <w:noProof/>
                <w:szCs w:val="24"/>
              </w:rPr>
            </w:pPr>
            <w:r>
              <w:rPr>
                <w:rFonts w:ascii="Arial" w:hAnsi="Arial" w:cs="Arial"/>
                <w:noProof/>
                <w:szCs w:val="24"/>
              </w:rPr>
              <w:t xml:space="preserve">2. </w:t>
            </w:r>
            <w:r w:rsidRPr="00BD46D6">
              <w:rPr>
                <w:rFonts w:ascii="Arial" w:hAnsi="Arial" w:cs="Arial"/>
                <w:noProof/>
                <w:szCs w:val="24"/>
              </w:rPr>
              <w:t>Competency</w:t>
            </w:r>
          </w:p>
          <w:p w14:paraId="0653C9C5" w14:textId="77777777" w:rsidR="008A0510" w:rsidRPr="00BD46D6" w:rsidRDefault="00E24FB2" w:rsidP="004B4DDC">
            <w:pPr>
              <w:pStyle w:val="Header"/>
              <w:numPr>
                <w:ilvl w:val="0"/>
                <w:numId w:val="20"/>
              </w:numPr>
              <w:tabs>
                <w:tab w:val="clear" w:pos="4153"/>
                <w:tab w:val="clear" w:pos="8306"/>
              </w:tabs>
              <w:spacing w:after="60"/>
              <w:contextualSpacing/>
              <w:rPr>
                <w:rFonts w:ascii="Arial" w:hAnsi="Arial" w:cs="Arial"/>
                <w:szCs w:val="24"/>
              </w:rPr>
            </w:pPr>
            <w:r>
              <w:rPr>
                <w:rFonts w:ascii="Arial" w:hAnsi="Arial" w:cs="Arial"/>
                <w:szCs w:val="24"/>
              </w:rPr>
              <w:t>Those providing clinical supervision to those administering the vaccine</w:t>
            </w:r>
            <w:r w:rsidR="008A0510" w:rsidRPr="00BD46D6">
              <w:rPr>
                <w:rFonts w:ascii="Arial" w:hAnsi="Arial" w:cs="Arial"/>
                <w:szCs w:val="24"/>
              </w:rPr>
              <w:t xml:space="preserve"> must be competent to assess individuals for suitability for vaccination, identify any contraindications or precautions, discuss issues related to vaccination and obtain informed consent from the individuals being vaccinated. </w:t>
            </w:r>
          </w:p>
          <w:p w14:paraId="57703A4B" w14:textId="77777777" w:rsidR="008A0510" w:rsidRPr="00D920F1" w:rsidRDefault="008A0510" w:rsidP="004B4DDC">
            <w:pPr>
              <w:pStyle w:val="Header"/>
              <w:numPr>
                <w:ilvl w:val="0"/>
                <w:numId w:val="20"/>
              </w:numPr>
              <w:tabs>
                <w:tab w:val="clear" w:pos="4153"/>
                <w:tab w:val="clear" w:pos="8306"/>
              </w:tabs>
              <w:spacing w:after="60"/>
              <w:contextualSpacing/>
              <w:rPr>
                <w:rFonts w:ascii="Arial" w:hAnsi="Arial" w:cs="Arial"/>
                <w:szCs w:val="24"/>
              </w:rPr>
            </w:pPr>
            <w:r w:rsidRPr="00D920F1">
              <w:rPr>
                <w:rFonts w:ascii="Arial" w:hAnsi="Arial" w:cs="Arial"/>
                <w:szCs w:val="24"/>
              </w:rPr>
              <w:t>All persons must either be an appropriate prescriber or one of above noted registered professionals.  Those that ar</w:t>
            </w:r>
            <w:r>
              <w:rPr>
                <w:rFonts w:ascii="Arial" w:hAnsi="Arial" w:cs="Arial"/>
                <w:szCs w:val="24"/>
              </w:rPr>
              <w:t>e not registered professionals</w:t>
            </w:r>
            <w:r w:rsidRPr="00D920F1">
              <w:rPr>
                <w:rFonts w:ascii="Arial" w:hAnsi="Arial" w:cs="Arial"/>
                <w:szCs w:val="24"/>
              </w:rPr>
              <w:t xml:space="preserve">, and those returning to immunisation after a prolonged interval (more than 12 months), should </w:t>
            </w:r>
            <w:r>
              <w:rPr>
                <w:rFonts w:ascii="Arial" w:hAnsi="Arial" w:cs="Arial"/>
                <w:szCs w:val="24"/>
              </w:rPr>
              <w:t>be assessed and signed off as meeting the</w:t>
            </w:r>
            <w:r w:rsidRPr="00CC79BD">
              <w:rPr>
                <w:rFonts w:ascii="Arial" w:hAnsi="Arial" w:cs="Arial"/>
                <w:szCs w:val="24"/>
              </w:rPr>
              <w:t xml:space="preserve"> requirements of the </w:t>
            </w:r>
            <w:r>
              <w:rPr>
                <w:rFonts w:ascii="Arial" w:hAnsi="Arial" w:cs="Arial"/>
                <w:szCs w:val="24"/>
              </w:rPr>
              <w:t xml:space="preserve">relevant </w:t>
            </w:r>
            <w:r w:rsidRPr="00CC79BD">
              <w:rPr>
                <w:rFonts w:ascii="Arial" w:hAnsi="Arial" w:cs="Arial"/>
                <w:szCs w:val="24"/>
              </w:rPr>
              <w:t>NES Proficiency document -COVID-19 vaccine administration</w:t>
            </w:r>
            <w:r w:rsidRPr="00D920F1">
              <w:rPr>
                <w:rFonts w:ascii="Arial" w:hAnsi="Arial" w:cs="Arial"/>
                <w:szCs w:val="24"/>
              </w:rPr>
              <w:t xml:space="preserve">. They should be </w:t>
            </w:r>
            <w:r w:rsidR="00E24FB2">
              <w:rPr>
                <w:rFonts w:ascii="Arial" w:hAnsi="Arial" w:cs="Arial"/>
                <w:szCs w:val="24"/>
              </w:rPr>
              <w:t>observed</w:t>
            </w:r>
            <w:r w:rsidRPr="00D920F1">
              <w:rPr>
                <w:rFonts w:ascii="Arial" w:hAnsi="Arial" w:cs="Arial"/>
                <w:szCs w:val="24"/>
              </w:rPr>
              <w:t xml:space="preserve"> administering the vaccine until both they, and their supervisor or trainer, feel confident that they have the necessary knowledge and skills to administer vaccines safely and competently. </w:t>
            </w:r>
          </w:p>
          <w:p w14:paraId="07794423" w14:textId="77777777" w:rsidR="008A0510" w:rsidRPr="00BD46D6" w:rsidRDefault="008A0510" w:rsidP="004B4DDC">
            <w:pPr>
              <w:pStyle w:val="Header"/>
              <w:numPr>
                <w:ilvl w:val="0"/>
                <w:numId w:val="20"/>
              </w:numPr>
              <w:tabs>
                <w:tab w:val="clear" w:pos="4153"/>
                <w:tab w:val="clear" w:pos="8306"/>
              </w:tabs>
              <w:spacing w:after="60"/>
              <w:contextualSpacing/>
              <w:rPr>
                <w:rFonts w:ascii="Arial" w:hAnsi="Arial" w:cs="Arial"/>
                <w:noProof/>
                <w:szCs w:val="24"/>
              </w:rPr>
            </w:pPr>
            <w:r w:rsidRPr="00BD46D6">
              <w:rPr>
                <w:rFonts w:ascii="Arial" w:hAnsi="Arial" w:cs="Arial"/>
                <w:szCs w:val="24"/>
              </w:rPr>
              <w:t xml:space="preserve">Experienced vaccinators should use the </w:t>
            </w:r>
            <w:r>
              <w:rPr>
                <w:rFonts w:ascii="Arial" w:hAnsi="Arial" w:cs="Arial"/>
                <w:szCs w:val="24"/>
              </w:rPr>
              <w:t xml:space="preserve">relevant </w:t>
            </w:r>
            <w:r w:rsidRPr="00CC79BD">
              <w:rPr>
                <w:rFonts w:ascii="Arial" w:hAnsi="Arial" w:cs="Arial"/>
                <w:szCs w:val="24"/>
              </w:rPr>
              <w:t xml:space="preserve">NES Proficiency document </w:t>
            </w:r>
            <w:r w:rsidRPr="00BD46D6">
              <w:rPr>
                <w:rFonts w:ascii="Arial" w:hAnsi="Arial" w:cs="Arial"/>
                <w:szCs w:val="24"/>
              </w:rPr>
              <w:t>to self-assess that they are able to meet all the competencies listed and confirm that they have the knowledge and skills necessary to administer COVID-19 vaccine.</w:t>
            </w:r>
          </w:p>
          <w:p w14:paraId="5237B3FA" w14:textId="77777777" w:rsidR="004B4DDC" w:rsidRDefault="004B4DDC" w:rsidP="004B4DDC">
            <w:pPr>
              <w:pStyle w:val="Header"/>
              <w:numPr>
                <w:ilvl w:val="0"/>
                <w:numId w:val="20"/>
              </w:numPr>
              <w:tabs>
                <w:tab w:val="clear" w:pos="4153"/>
                <w:tab w:val="clear" w:pos="8306"/>
              </w:tabs>
              <w:adjustRightInd/>
              <w:spacing w:after="60"/>
              <w:contextualSpacing/>
              <w:textAlignment w:val="auto"/>
              <w:rPr>
                <w:rFonts w:ascii="Arial" w:hAnsi="Arial" w:cs="Arial"/>
                <w:sz w:val="22"/>
                <w:szCs w:val="22"/>
              </w:rPr>
            </w:pPr>
            <w:r>
              <w:rPr>
                <w:rFonts w:ascii="Arial" w:hAnsi="Arial" w:cs="Arial"/>
                <w:sz w:val="22"/>
                <w:szCs w:val="22"/>
              </w:rPr>
              <w:t xml:space="preserve">They must have completed local IPC training and comply with the vaccination guidance with the National COVID-19 IPC guidelines available:  </w:t>
            </w:r>
            <w:hyperlink r:id="rId18" w:history="1">
              <w:r>
                <w:rPr>
                  <w:rStyle w:val="Hyperlink"/>
                  <w:rFonts w:ascii="Arial" w:hAnsi="Arial" w:cs="Arial"/>
                  <w:color w:val="auto"/>
                  <w:sz w:val="22"/>
                  <w:szCs w:val="22"/>
                </w:rPr>
                <w:t>National Infection Prevention and Control Manual: Scottish COVID-19 Infection Prevention and Control Addendum for Acute Settings</w:t>
              </w:r>
            </w:hyperlink>
          </w:p>
          <w:p w14:paraId="3E005FAD" w14:textId="77777777" w:rsidR="00BD46D6" w:rsidRPr="00BD46D6" w:rsidRDefault="00BD46D6" w:rsidP="00441148">
            <w:pPr>
              <w:pStyle w:val="Header"/>
              <w:tabs>
                <w:tab w:val="clear" w:pos="4153"/>
                <w:tab w:val="clear" w:pos="8306"/>
              </w:tabs>
              <w:spacing w:after="60"/>
              <w:contextualSpacing/>
              <w:rPr>
                <w:rFonts w:ascii="Arial" w:hAnsi="Arial" w:cs="Arial"/>
                <w:noProof/>
                <w:szCs w:val="24"/>
              </w:rPr>
            </w:pPr>
          </w:p>
          <w:p w14:paraId="2F63523B" w14:textId="77777777" w:rsidR="00BD46D6" w:rsidRPr="00BD46D6" w:rsidRDefault="00BD46D6" w:rsidP="00441148">
            <w:pPr>
              <w:pStyle w:val="Header"/>
              <w:tabs>
                <w:tab w:val="clear" w:pos="4153"/>
                <w:tab w:val="clear" w:pos="8306"/>
              </w:tabs>
              <w:spacing w:after="60"/>
              <w:contextualSpacing/>
              <w:rPr>
                <w:rFonts w:ascii="Arial" w:hAnsi="Arial" w:cs="Arial"/>
                <w:szCs w:val="24"/>
              </w:rPr>
            </w:pPr>
            <w:r w:rsidRPr="00BD46D6">
              <w:rPr>
                <w:rFonts w:ascii="Arial" w:hAnsi="Arial" w:cs="Arial"/>
                <w:szCs w:val="24"/>
              </w:rPr>
              <w:t xml:space="preserve">In addition and where indicated as relevant to the role- </w:t>
            </w:r>
          </w:p>
          <w:p w14:paraId="105667DF"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They must be familiar with the vaccine product and alert to any changes in the manufacturers summary of product characteristics (SPC), should it become licensed, or the Regulation 174 Information for UK Healthcare Professionals and familiar with the national recommendations for the use of this vaccine.</w:t>
            </w:r>
          </w:p>
          <w:p w14:paraId="5DDB7F98"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They must be familiar with, and alert to changes in relevant chapters of Immunisation Against Infectious Disease: the Green Book</w:t>
            </w:r>
            <w:r w:rsidR="00A9657F">
              <w:rPr>
                <w:rFonts w:ascii="Arial" w:hAnsi="Arial" w:cs="Arial"/>
                <w:szCs w:val="24"/>
              </w:rPr>
              <w:t xml:space="preserve"> </w:t>
            </w:r>
            <w:hyperlink r:id="rId19" w:history="1">
              <w:r w:rsidR="00A9657F" w:rsidRPr="00CC79BD">
                <w:rPr>
                  <w:rStyle w:val="Hyperlink"/>
                  <w:rFonts w:ascii="Arial" w:hAnsi="Arial" w:cs="Arial"/>
                  <w:szCs w:val="24"/>
                </w:rPr>
                <w:t>COVID-19: the green book, chapter 14a - GOV.UK (www.gov.uk)</w:t>
              </w:r>
            </w:hyperlink>
            <w:r w:rsidRPr="00BD46D6">
              <w:rPr>
                <w:rFonts w:ascii="Arial" w:hAnsi="Arial" w:cs="Arial"/>
                <w:szCs w:val="24"/>
              </w:rPr>
              <w:t xml:space="preserve">. </w:t>
            </w:r>
          </w:p>
          <w:p w14:paraId="48BAE327"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They must be familiar with, and alert to changes in the relevant </w:t>
            </w:r>
            <w:r>
              <w:rPr>
                <w:rFonts w:ascii="Arial" w:hAnsi="Arial" w:cs="Arial"/>
                <w:szCs w:val="24"/>
              </w:rPr>
              <w:t xml:space="preserve">provider’s </w:t>
            </w:r>
            <w:r w:rsidRPr="00BD46D6">
              <w:rPr>
                <w:rFonts w:ascii="Arial" w:hAnsi="Arial" w:cs="Arial"/>
                <w:szCs w:val="24"/>
              </w:rPr>
              <w:t xml:space="preserve">standard operating procedures (SOPs) and </w:t>
            </w:r>
            <w:r>
              <w:rPr>
                <w:rFonts w:ascii="Arial" w:hAnsi="Arial" w:cs="Arial"/>
                <w:szCs w:val="24"/>
              </w:rPr>
              <w:t xml:space="preserve">provider’s </w:t>
            </w:r>
            <w:r w:rsidRPr="00BD46D6">
              <w:rPr>
                <w:rFonts w:ascii="Arial" w:hAnsi="Arial" w:cs="Arial"/>
                <w:szCs w:val="24"/>
              </w:rPr>
              <w:t xml:space="preserve">arrangements for the national COVID-19 vaccination programme </w:t>
            </w:r>
          </w:p>
          <w:p w14:paraId="44A92F73"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They must be competent in the correct handling and storage of vaccines and management of the cold chain if receiving, responsible for, or handling the vaccine. </w:t>
            </w:r>
          </w:p>
          <w:p w14:paraId="298E3847"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They must be competent in the recognition and management of anaphylaxis, have completed basic life support training and be able to respond appropriately to immediate adverse reactions. </w:t>
            </w:r>
          </w:p>
          <w:p w14:paraId="5011CC0A"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They must have access to the </w:t>
            </w:r>
            <w:r>
              <w:rPr>
                <w:rFonts w:ascii="Arial" w:hAnsi="Arial" w:cs="Arial"/>
                <w:szCs w:val="24"/>
              </w:rPr>
              <w:t>provider’s</w:t>
            </w:r>
            <w:r w:rsidRPr="00BD46D6">
              <w:rPr>
                <w:rFonts w:ascii="Arial" w:hAnsi="Arial" w:cs="Arial"/>
                <w:szCs w:val="24"/>
              </w:rPr>
              <w:t xml:space="preserve"> protocols and relevant COVID-19 vaccina</w:t>
            </w:r>
            <w:r>
              <w:rPr>
                <w:rFonts w:ascii="Arial" w:hAnsi="Arial" w:cs="Arial"/>
                <w:szCs w:val="24"/>
              </w:rPr>
              <w:t xml:space="preserve">tion programme online resources. </w:t>
            </w:r>
          </w:p>
          <w:p w14:paraId="55CD8A13"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They must be competent in intramuscular injection technique if they are administering the vaccine, this should include a practical element.</w:t>
            </w:r>
          </w:p>
          <w:p w14:paraId="4936F110" w14:textId="77777777" w:rsidR="00BD46D6" w:rsidRPr="00BD46D6" w:rsidRDefault="00BD46D6" w:rsidP="00BD46D6">
            <w:pPr>
              <w:pStyle w:val="Header"/>
              <w:tabs>
                <w:tab w:val="clear" w:pos="4153"/>
                <w:tab w:val="clear" w:pos="8306"/>
              </w:tabs>
              <w:spacing w:after="60"/>
              <w:contextualSpacing/>
              <w:rPr>
                <w:rFonts w:ascii="Arial" w:hAnsi="Arial" w:cs="Arial"/>
                <w:szCs w:val="24"/>
              </w:rPr>
            </w:pPr>
          </w:p>
          <w:p w14:paraId="5BCADDCF"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For those preparing the vaccine, they must be competent in the handling of the vaccine product, procedure for dilution of the vaccine and use of the correct technique for drawing up the correct dose. </w:t>
            </w:r>
          </w:p>
          <w:p w14:paraId="10AC36BA"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For those in record keeping roles, they must understand the importance of making sure vaccine information is recorded on the </w:t>
            </w:r>
            <w:r w:rsidR="00D920F1">
              <w:rPr>
                <w:rFonts w:ascii="Arial" w:hAnsi="Arial" w:cs="Arial"/>
                <w:szCs w:val="24"/>
              </w:rPr>
              <w:t xml:space="preserve">vaccination management app.  </w:t>
            </w:r>
            <w:r w:rsidRPr="00BD46D6">
              <w:rPr>
                <w:rFonts w:ascii="Arial" w:hAnsi="Arial" w:cs="Arial"/>
                <w:szCs w:val="24"/>
              </w:rPr>
              <w:t xml:space="preserve"> </w:t>
            </w:r>
          </w:p>
          <w:p w14:paraId="39BC3FF5"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They should fulfil any additional requirements defined by local policies developed in accordance with any national guidance.</w:t>
            </w:r>
          </w:p>
          <w:p w14:paraId="05EE714D" w14:textId="77777777" w:rsidR="00BD46D6" w:rsidRPr="00BD46D6" w:rsidRDefault="00BD46D6" w:rsidP="00441148">
            <w:pPr>
              <w:pStyle w:val="Header"/>
              <w:tabs>
                <w:tab w:val="clear" w:pos="4153"/>
                <w:tab w:val="clear" w:pos="8306"/>
              </w:tabs>
              <w:spacing w:after="60"/>
              <w:contextualSpacing/>
              <w:rPr>
                <w:rFonts w:ascii="Arial" w:hAnsi="Arial" w:cs="Arial"/>
                <w:szCs w:val="24"/>
              </w:rPr>
            </w:pPr>
          </w:p>
          <w:p w14:paraId="277D3B8A" w14:textId="77777777" w:rsidR="00BD46D6" w:rsidRPr="00BD46D6" w:rsidRDefault="00332D60" w:rsidP="00441148">
            <w:pPr>
              <w:pStyle w:val="Header"/>
              <w:tabs>
                <w:tab w:val="clear" w:pos="4153"/>
                <w:tab w:val="clear" w:pos="8306"/>
              </w:tabs>
              <w:spacing w:after="60"/>
              <w:contextualSpacing/>
              <w:rPr>
                <w:rFonts w:ascii="Arial" w:hAnsi="Arial" w:cs="Arial"/>
                <w:szCs w:val="24"/>
              </w:rPr>
            </w:pPr>
            <w:r>
              <w:rPr>
                <w:rFonts w:ascii="Arial" w:hAnsi="Arial" w:cs="Arial"/>
                <w:szCs w:val="24"/>
              </w:rPr>
              <w:t xml:space="preserve">3. </w:t>
            </w:r>
            <w:r w:rsidR="00BD46D6" w:rsidRPr="00BD46D6">
              <w:rPr>
                <w:rFonts w:ascii="Arial" w:hAnsi="Arial" w:cs="Arial"/>
                <w:szCs w:val="24"/>
              </w:rPr>
              <w:t xml:space="preserve">Supervision </w:t>
            </w:r>
          </w:p>
          <w:p w14:paraId="0A61E930"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A period of supervised practice to allow observation of, and development of skills in vaccine administration and application of knowledge to practice is essential. Supervision for new immunisers and support for all immunisers is critical to the safe and successful delivery of the COVID-19 immunisation programme. </w:t>
            </w:r>
          </w:p>
          <w:p w14:paraId="693B97EC"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szCs w:val="24"/>
              </w:rPr>
            </w:pPr>
            <w:r w:rsidRPr="00BD46D6">
              <w:rPr>
                <w:rFonts w:ascii="Arial" w:hAnsi="Arial" w:cs="Arial"/>
                <w:szCs w:val="24"/>
              </w:rPr>
              <w:t xml:space="preserve">Non-registered persons must be supervised and supported by a registered healthcare professional at all times. </w:t>
            </w:r>
          </w:p>
          <w:p w14:paraId="2E402F7F" w14:textId="77777777" w:rsidR="00BD46D6" w:rsidRPr="00BD46D6" w:rsidRDefault="00BD46D6" w:rsidP="004B4DDC">
            <w:pPr>
              <w:pStyle w:val="Header"/>
              <w:numPr>
                <w:ilvl w:val="0"/>
                <w:numId w:val="20"/>
              </w:numPr>
              <w:tabs>
                <w:tab w:val="clear" w:pos="4153"/>
                <w:tab w:val="clear" w:pos="8306"/>
              </w:tabs>
              <w:spacing w:after="60"/>
              <w:contextualSpacing/>
              <w:rPr>
                <w:rFonts w:ascii="Arial" w:hAnsi="Arial" w:cs="Arial"/>
                <w:noProof/>
                <w:szCs w:val="24"/>
              </w:rPr>
            </w:pPr>
            <w:r w:rsidRPr="00BD46D6">
              <w:rPr>
                <w:rFonts w:ascii="Arial" w:hAnsi="Arial" w:cs="Arial"/>
                <w:szCs w:val="24"/>
              </w:rPr>
              <w:t>The clinical supervisor must be a registered healthcare professional trained and competent in all aspects of the protocol and provide clinical supervision</w:t>
            </w:r>
            <w:r w:rsidR="00ED230D">
              <w:rPr>
                <w:rFonts w:ascii="Arial" w:hAnsi="Arial" w:cs="Arial"/>
                <w:szCs w:val="24"/>
              </w:rPr>
              <w:t xml:space="preserve"> </w:t>
            </w:r>
            <w:r w:rsidRPr="00BD46D6">
              <w:rPr>
                <w:rFonts w:ascii="Arial" w:hAnsi="Arial" w:cs="Arial"/>
                <w:szCs w:val="24"/>
              </w:rPr>
              <w:t>for the overall provision of clinical care provided under the protocol.</w:t>
            </w:r>
          </w:p>
        </w:tc>
      </w:tr>
    </w:tbl>
    <w:p w14:paraId="74B25316" w14:textId="77777777" w:rsidR="00E1441D" w:rsidRPr="00CC79BD" w:rsidRDefault="00E1441D" w:rsidP="00E1441D">
      <w:pPr>
        <w:rPr>
          <w:rFonts w:ascii="Arial" w:hAnsi="Arial" w:cs="Arial"/>
          <w:b/>
          <w:sz w:val="24"/>
          <w:szCs w:val="24"/>
        </w:rPr>
      </w:pPr>
      <w:bookmarkStart w:id="6" w:name="AdditionalRequirements"/>
      <w:bookmarkEnd w:id="6"/>
      <w:r w:rsidRPr="00CC79BD">
        <w:rPr>
          <w:rFonts w:ascii="Arial" w:hAnsi="Arial" w:cs="Arial"/>
          <w:b/>
          <w:sz w:val="24"/>
          <w:szCs w:val="24"/>
        </w:rPr>
        <w:t xml:space="preserve"> </w:t>
      </w:r>
    </w:p>
    <w:p w14:paraId="782A5ED0" w14:textId="77777777" w:rsidR="009F5783" w:rsidRPr="00CC79BD" w:rsidRDefault="009A45B4" w:rsidP="009A45B4">
      <w:pPr>
        <w:overflowPunct w:val="0"/>
        <w:autoSpaceDE w:val="0"/>
        <w:autoSpaceDN w:val="0"/>
        <w:adjustRightInd w:val="0"/>
        <w:spacing w:before="120" w:after="0" w:line="240" w:lineRule="auto"/>
        <w:contextualSpacing/>
        <w:rPr>
          <w:rFonts w:ascii="Arial" w:eastAsia="Times New Roman" w:hAnsi="Arial" w:cs="Arial"/>
          <w:b/>
          <w:sz w:val="24"/>
          <w:szCs w:val="24"/>
          <w:lang w:eastAsia="en-GB"/>
        </w:rPr>
      </w:pPr>
      <w:r w:rsidRPr="00CC79BD">
        <w:rPr>
          <w:rFonts w:ascii="Arial" w:eastAsia="Times New Roman" w:hAnsi="Arial" w:cs="Arial"/>
          <w:b/>
          <w:sz w:val="24"/>
          <w:szCs w:val="24"/>
          <w:lang w:eastAsia="en-GB"/>
        </w:rPr>
        <w:t xml:space="preserve">5. </w:t>
      </w:r>
      <w:r w:rsidR="009F5783" w:rsidRPr="00CC79BD">
        <w:rPr>
          <w:rFonts w:ascii="Arial" w:eastAsia="Times New Roman" w:hAnsi="Arial" w:cs="Arial"/>
          <w:b/>
          <w:sz w:val="24"/>
          <w:szCs w:val="24"/>
          <w:lang w:eastAsia="en-GB"/>
        </w:rPr>
        <w:t>Clinical condition or situation to which this Protocol applies</w:t>
      </w:r>
    </w:p>
    <w:p w14:paraId="0C843A17" w14:textId="77777777" w:rsidR="00E1441D" w:rsidRPr="00CC79BD" w:rsidRDefault="00E1441D" w:rsidP="00E1441D">
      <w:pPr>
        <w:tabs>
          <w:tab w:val="left" w:pos="0"/>
        </w:tabs>
        <w:spacing w:line="240" w:lineRule="auto"/>
        <w:rPr>
          <w:rFonts w:ascii="Arial" w:hAnsi="Arial" w:cs="Arial"/>
          <w:sz w:val="24"/>
          <w:szCs w:val="24"/>
        </w:rPr>
      </w:pPr>
    </w:p>
    <w:p w14:paraId="47B546D1" w14:textId="77777777" w:rsidR="00E1441D" w:rsidRPr="00CC79BD" w:rsidRDefault="00AD37A3" w:rsidP="00E1441D">
      <w:pPr>
        <w:tabs>
          <w:tab w:val="left" w:pos="0"/>
        </w:tabs>
        <w:spacing w:line="240" w:lineRule="auto"/>
        <w:rPr>
          <w:rFonts w:ascii="Arial" w:hAnsi="Arial" w:cs="Arial"/>
          <w:sz w:val="24"/>
          <w:szCs w:val="24"/>
        </w:rPr>
      </w:pPr>
      <w:r w:rsidRPr="00AD37A3">
        <w:rPr>
          <w:rFonts w:ascii="Arial" w:hAnsi="Arial" w:cs="Arial"/>
          <w:sz w:val="24"/>
          <w:szCs w:val="24"/>
        </w:rPr>
        <w:t>COVID-19 mRNA Vaccine BNT162b2 Pfizer/BioNTech</w:t>
      </w:r>
      <w:r>
        <w:t xml:space="preserve"> </w:t>
      </w:r>
      <w:r w:rsidRPr="00CC79BD">
        <w:rPr>
          <w:rFonts w:ascii="Arial" w:eastAsia="Times New Roman" w:hAnsi="Arial" w:cs="Arial"/>
          <w:sz w:val="24"/>
          <w:szCs w:val="24"/>
          <w:lang w:eastAsia="en-GB"/>
        </w:rPr>
        <w:t xml:space="preserve"> </w:t>
      </w:r>
      <w:r w:rsidR="00E1441D" w:rsidRPr="00CC79BD">
        <w:rPr>
          <w:rFonts w:ascii="Arial" w:hAnsi="Arial" w:cs="Arial"/>
          <w:sz w:val="24"/>
          <w:szCs w:val="24"/>
        </w:rPr>
        <w:t xml:space="preserve">is indicated for active immunisation against COVID-19 disease caused by SARS-CoV-2 virus in accordance with Scottish Government COVID-19 immunisation programme and recommendations given in Chapter 14a of the Immunisation Against Infectious Disease: the ‘Green Book’ </w:t>
      </w:r>
      <w:hyperlink r:id="rId20" w:history="1">
        <w:r w:rsidR="00E1441D" w:rsidRPr="00CC79BD">
          <w:rPr>
            <w:rStyle w:val="Hyperlink"/>
            <w:rFonts w:ascii="Arial" w:hAnsi="Arial" w:cs="Arial"/>
            <w:sz w:val="24"/>
            <w:szCs w:val="24"/>
          </w:rPr>
          <w:t>COVID-19: the green book, chapter 14a - GOV.UK (www.gov.uk)</w:t>
        </w:r>
      </w:hyperlink>
      <w:r w:rsidR="00D920F1">
        <w:rPr>
          <w:rFonts w:ascii="Arial" w:hAnsi="Arial" w:cs="Arial"/>
          <w:sz w:val="24"/>
          <w:szCs w:val="24"/>
        </w:rPr>
        <w:t xml:space="preserve"> </w:t>
      </w:r>
      <w:r w:rsidR="00E1441D" w:rsidRPr="00CC79BD">
        <w:rPr>
          <w:rFonts w:ascii="Arial" w:hAnsi="Arial" w:cs="Arial"/>
          <w:sz w:val="24"/>
          <w:szCs w:val="24"/>
        </w:rPr>
        <w:t>and Scottish Government CMO letters relating to COVID-19 vaccination.</w:t>
      </w:r>
    </w:p>
    <w:p w14:paraId="106A9E30" w14:textId="77777777" w:rsidR="00E1441D" w:rsidRPr="00CC79BD" w:rsidRDefault="00E1441D" w:rsidP="00E1441D">
      <w:pPr>
        <w:overflowPunct w:val="0"/>
        <w:autoSpaceDE w:val="0"/>
        <w:autoSpaceDN w:val="0"/>
        <w:adjustRightInd w:val="0"/>
        <w:spacing w:after="0" w:line="240" w:lineRule="auto"/>
        <w:contextualSpacing/>
        <w:jc w:val="both"/>
        <w:rPr>
          <w:rFonts w:ascii="Arial" w:eastAsia="Times New Roman" w:hAnsi="Arial" w:cs="Arial"/>
          <w:sz w:val="24"/>
          <w:szCs w:val="24"/>
          <w:lang w:eastAsia="en-GB"/>
        </w:rPr>
        <w:sectPr w:rsidR="00E1441D" w:rsidRPr="00CC79BD">
          <w:pgSz w:w="11906" w:h="16838"/>
          <w:pgMar w:top="1440" w:right="1440" w:bottom="1440" w:left="1440" w:header="708" w:footer="708" w:gutter="0"/>
          <w:cols w:space="708"/>
          <w:docGrid w:linePitch="360"/>
        </w:sectPr>
      </w:pPr>
    </w:p>
    <w:p w14:paraId="65435E3E" w14:textId="77777777" w:rsidR="00D920F1" w:rsidRDefault="00D920F1" w:rsidP="00D920F1">
      <w:pPr>
        <w:overflowPunct w:val="0"/>
        <w:autoSpaceDE w:val="0"/>
        <w:autoSpaceDN w:val="0"/>
        <w:adjustRightInd w:val="0"/>
        <w:spacing w:after="0" w:line="240" w:lineRule="auto"/>
        <w:contextualSpacing/>
        <w:jc w:val="right"/>
        <w:rPr>
          <w:rFonts w:ascii="Arial" w:eastAsia="Times New Roman" w:hAnsi="Arial" w:cs="Arial"/>
          <w:b/>
          <w:sz w:val="24"/>
          <w:szCs w:val="24"/>
          <w:lang w:eastAsia="en-GB"/>
        </w:rPr>
      </w:pPr>
      <w:r>
        <w:rPr>
          <w:rFonts w:ascii="Arial" w:eastAsia="Times New Roman" w:hAnsi="Arial" w:cs="Arial"/>
          <w:b/>
          <w:sz w:val="24"/>
          <w:szCs w:val="24"/>
          <w:lang w:eastAsia="en-GB"/>
        </w:rPr>
        <w:t>ANNEX A: Clinical Information</w:t>
      </w:r>
    </w:p>
    <w:p w14:paraId="64836350" w14:textId="77777777" w:rsidR="00D920F1" w:rsidRDefault="00D920F1" w:rsidP="00D920F1">
      <w:pPr>
        <w:overflowPunct w:val="0"/>
        <w:autoSpaceDE w:val="0"/>
        <w:autoSpaceDN w:val="0"/>
        <w:adjustRightInd w:val="0"/>
        <w:spacing w:after="0" w:line="240" w:lineRule="auto"/>
        <w:contextualSpacing/>
        <w:jc w:val="both"/>
        <w:rPr>
          <w:rFonts w:ascii="Arial" w:eastAsia="Times New Roman" w:hAnsi="Arial" w:cs="Arial"/>
          <w:sz w:val="24"/>
          <w:szCs w:val="24"/>
          <w:lang w:eastAsia="en-GB"/>
        </w:rPr>
      </w:pPr>
    </w:p>
    <w:p w14:paraId="1F85D865" w14:textId="77777777" w:rsidR="00D920F1" w:rsidRDefault="00D920F1" w:rsidP="00D920F1">
      <w:pPr>
        <w:overflowPunct w:val="0"/>
        <w:autoSpaceDE w:val="0"/>
        <w:autoSpaceDN w:val="0"/>
        <w:adjustRightInd w:val="0"/>
        <w:spacing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Annex provides information about the clinical situation or condition and treatment in relation to the National Protocol. </w:t>
      </w:r>
    </w:p>
    <w:p w14:paraId="6CCB567B" w14:textId="77777777" w:rsidR="00D920F1" w:rsidRDefault="00D920F1" w:rsidP="00D920F1">
      <w:pPr>
        <w:autoSpaceDN w:val="0"/>
        <w:spacing w:after="160" w:line="254" w:lineRule="auto"/>
        <w:rPr>
          <w:rFonts w:ascii="Arial" w:eastAsia="Times New Roman" w:hAnsi="Arial" w:cs="Arial"/>
          <w:b/>
          <w:sz w:val="24"/>
          <w:szCs w:val="24"/>
          <w:lang w:eastAsia="en-GB"/>
        </w:rPr>
      </w:pPr>
    </w:p>
    <w:p w14:paraId="4FC1AAF0" w14:textId="77777777" w:rsidR="00D920F1" w:rsidRDefault="00D920F1" w:rsidP="00D920F1">
      <w:pPr>
        <w:overflowPunct w:val="0"/>
        <w:autoSpaceDE w:val="0"/>
        <w:autoSpaceDN w:val="0"/>
        <w:adjustRightInd w:val="0"/>
        <w:spacing w:after="0" w:line="240" w:lineRule="auto"/>
        <w:contextualSpacing/>
        <w:jc w:val="both"/>
        <w:rPr>
          <w:rFonts w:ascii="Arial" w:eastAsia="Times New Roman" w:hAnsi="Arial" w:cs="Arial"/>
          <w:sz w:val="24"/>
          <w:szCs w:val="24"/>
          <w:lang w:eastAsia="en-GB"/>
        </w:rPr>
      </w:pPr>
    </w:p>
    <w:p w14:paraId="53C79593" w14:textId="77777777" w:rsidR="00D920F1" w:rsidRDefault="00E34CC3" w:rsidP="00E34CC3">
      <w:pPr>
        <w:overflowPunct w:val="0"/>
        <w:autoSpaceDE w:val="0"/>
        <w:autoSpaceDN w:val="0"/>
        <w:adjustRightInd w:val="0"/>
        <w:spacing w:before="120"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 xml:space="preserve">1. </w:t>
      </w:r>
      <w:r w:rsidR="00D920F1">
        <w:rPr>
          <w:rFonts w:ascii="Arial" w:eastAsia="Times New Roman" w:hAnsi="Arial" w:cs="Arial"/>
          <w:b/>
          <w:sz w:val="24"/>
          <w:szCs w:val="24"/>
          <w:lang w:eastAsia="en-GB"/>
        </w:rPr>
        <w:t>Clinical condition or situation to which this Protocol applies</w:t>
      </w:r>
    </w:p>
    <w:p w14:paraId="2AC200D2" w14:textId="77777777" w:rsidR="00E34CC3" w:rsidRDefault="00E34CC3" w:rsidP="00E34CC3">
      <w:pPr>
        <w:overflowPunct w:val="0"/>
        <w:autoSpaceDE w:val="0"/>
        <w:autoSpaceDN w:val="0"/>
        <w:adjustRightInd w:val="0"/>
        <w:spacing w:before="120" w:after="0" w:line="240" w:lineRule="auto"/>
        <w:contextualSpacing/>
        <w:rPr>
          <w:rFonts w:ascii="Arial" w:eastAsia="Times New Roman" w:hAnsi="Arial" w:cs="Arial"/>
          <w:b/>
          <w:sz w:val="24"/>
          <w:szCs w:val="24"/>
          <w:lang w:eastAsia="en-GB"/>
        </w:rPr>
      </w:pPr>
    </w:p>
    <w:tbl>
      <w:tblPr>
        <w:tblStyle w:val="TableGrid"/>
        <w:tblW w:w="0" w:type="auto"/>
        <w:tblInd w:w="0" w:type="dxa"/>
        <w:tblLook w:val="0620" w:firstRow="1" w:lastRow="0" w:firstColumn="0" w:lastColumn="0" w:noHBand="1" w:noVBand="1"/>
      </w:tblPr>
      <w:tblGrid>
        <w:gridCol w:w="2078"/>
        <w:gridCol w:w="6938"/>
      </w:tblGrid>
      <w:tr w:rsidR="00E34CC3" w:rsidRPr="00E34CC3" w14:paraId="4027C31C" w14:textId="77777777" w:rsidTr="00E34CC3">
        <w:trPr>
          <w:cantSplit/>
          <w:tblHeader/>
        </w:trPr>
        <w:tc>
          <w:tcPr>
            <w:tcW w:w="2078" w:type="dxa"/>
            <w:tcBorders>
              <w:top w:val="single" w:sz="4" w:space="0" w:color="auto"/>
              <w:left w:val="single" w:sz="4" w:space="0" w:color="auto"/>
              <w:bottom w:val="single" w:sz="4" w:space="0" w:color="auto"/>
              <w:right w:val="single" w:sz="4" w:space="0" w:color="auto"/>
            </w:tcBorders>
            <w:hideMark/>
          </w:tcPr>
          <w:p w14:paraId="6FA638A6" w14:textId="77777777" w:rsidR="00E34CC3" w:rsidRPr="00E34CC3" w:rsidRDefault="00E34CC3">
            <w:pPr>
              <w:pStyle w:val="TableHead"/>
              <w:rPr>
                <w:color w:val="auto"/>
              </w:rPr>
            </w:pPr>
            <w:r w:rsidRPr="00E34CC3">
              <w:rPr>
                <w:rFonts w:cstheme="minorBidi"/>
                <w:color w:val="auto"/>
              </w:rPr>
              <w:t>Category</w:t>
            </w:r>
          </w:p>
        </w:tc>
        <w:tc>
          <w:tcPr>
            <w:tcW w:w="6938" w:type="dxa"/>
            <w:tcBorders>
              <w:top w:val="single" w:sz="4" w:space="0" w:color="auto"/>
              <w:left w:val="single" w:sz="4" w:space="0" w:color="auto"/>
              <w:bottom w:val="single" w:sz="4" w:space="0" w:color="auto"/>
              <w:right w:val="single" w:sz="4" w:space="0" w:color="auto"/>
            </w:tcBorders>
            <w:hideMark/>
          </w:tcPr>
          <w:p w14:paraId="56D839A1" w14:textId="77777777" w:rsidR="00E34CC3" w:rsidRPr="00E34CC3" w:rsidRDefault="00E34CC3" w:rsidP="00E34CC3">
            <w:pPr>
              <w:pStyle w:val="TableHead"/>
              <w:rPr>
                <w:rFonts w:cstheme="minorBidi"/>
                <w:color w:val="auto"/>
              </w:rPr>
            </w:pPr>
            <w:r w:rsidRPr="00E34CC3">
              <w:rPr>
                <w:rFonts w:cstheme="minorBidi"/>
                <w:color w:val="auto"/>
              </w:rPr>
              <w:t>Description</w:t>
            </w:r>
          </w:p>
        </w:tc>
      </w:tr>
      <w:tr w:rsidR="00E34CC3" w14:paraId="70DBFDC5" w14:textId="77777777" w:rsidTr="00E34CC3">
        <w:tblPrEx>
          <w:tblCellMar>
            <w:top w:w="28" w:type="dxa"/>
            <w:bottom w:w="57" w:type="dxa"/>
          </w:tblCellMar>
        </w:tblPrEx>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74D90B" w14:textId="77777777" w:rsidR="00E34CC3" w:rsidRDefault="00E34CC3">
            <w:pPr>
              <w:pStyle w:val="TableBody"/>
              <w:rPr>
                <w:rFonts w:cstheme="minorBidi"/>
                <w:b/>
              </w:rPr>
            </w:pPr>
            <w:r>
              <w:rPr>
                <w:b/>
              </w:rPr>
              <w:t>Indication</w:t>
            </w:r>
          </w:p>
        </w:tc>
        <w:tc>
          <w:tcPr>
            <w:tcW w:w="6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76CF7" w14:textId="77777777" w:rsidR="00E34CC3" w:rsidRDefault="00E34CC3" w:rsidP="00E34CC3">
            <w:pPr>
              <w:pStyle w:val="TableBody"/>
              <w:jc w:val="left"/>
            </w:pPr>
            <w:r>
              <w:t>COVID-19 mRNA Vaccine BNT162b2 is indicated for active immunisation against COVID-19 disease caused by SARS-CoV-2 virus in accordance with Scottish Government COVID-19 immunisation programme and recommendations given in Chapter 14a of the Immunisation Against Infectious Disease: the ‘Green Book’, JCVI statement on priority groups for COVID-19 vaccination from 30th December 2020 and subsequent correspondence/publications from Scottish Government.</w:t>
            </w:r>
          </w:p>
        </w:tc>
      </w:tr>
      <w:tr w:rsidR="00E34CC3" w14:paraId="2512F4F9" w14:textId="77777777" w:rsidTr="00E34CC3">
        <w:tblPrEx>
          <w:tblCellMar>
            <w:top w:w="28" w:type="dxa"/>
            <w:bottom w:w="57" w:type="dxa"/>
          </w:tblCellMar>
        </w:tblPrEx>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357B1" w14:textId="77777777" w:rsidR="00E34CC3" w:rsidRDefault="00E34CC3">
            <w:pPr>
              <w:pStyle w:val="TableBody"/>
              <w:rPr>
                <w:b/>
              </w:rPr>
            </w:pPr>
            <w:r>
              <w:rPr>
                <w:b/>
              </w:rPr>
              <w:t>Inclusion criteria</w:t>
            </w:r>
          </w:p>
        </w:tc>
        <w:tc>
          <w:tcPr>
            <w:tcW w:w="6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7F526" w14:textId="77777777" w:rsidR="00E34CC3" w:rsidRDefault="00E34CC3" w:rsidP="00E34CC3">
            <w:pPr>
              <w:pStyle w:val="TableBody"/>
              <w:jc w:val="left"/>
              <w:rPr>
                <w:color w:val="auto"/>
              </w:rPr>
            </w:pPr>
            <w:r>
              <w:rPr>
                <w:color w:val="auto"/>
              </w:rPr>
              <w:t>National policy must be followed in relation to the priority groups eligible for vaccination at a particular point in time.</w:t>
            </w:r>
          </w:p>
          <w:p w14:paraId="22347019" w14:textId="77777777" w:rsidR="00E34CC3" w:rsidRDefault="00E34CC3" w:rsidP="00E34CC3">
            <w:pPr>
              <w:pStyle w:val="TableBody"/>
              <w:jc w:val="left"/>
              <w:rPr>
                <w:color w:val="auto"/>
              </w:rPr>
            </w:pPr>
            <w:r>
              <w:rPr>
                <w:color w:val="auto"/>
              </w:rPr>
              <w:t>COVID-19 vaccine should be offered to the following individuals:</w:t>
            </w:r>
          </w:p>
          <w:p w14:paraId="50BD38E3" w14:textId="77777777" w:rsidR="00E34CC3" w:rsidRDefault="00E34CC3" w:rsidP="00E34CC3">
            <w:pPr>
              <w:pStyle w:val="TableBody"/>
              <w:numPr>
                <w:ilvl w:val="0"/>
                <w:numId w:val="28"/>
              </w:numPr>
              <w:jc w:val="left"/>
              <w:rPr>
                <w:color w:val="auto"/>
              </w:rPr>
            </w:pPr>
            <w:r>
              <w:rPr>
                <w:color w:val="auto"/>
              </w:rPr>
              <w:t>Residents in a care home for older adults and their carers</w:t>
            </w:r>
          </w:p>
          <w:p w14:paraId="063C3316" w14:textId="77777777" w:rsidR="00E34CC3" w:rsidRDefault="00E34CC3" w:rsidP="00E34CC3">
            <w:pPr>
              <w:pStyle w:val="TableBody"/>
              <w:numPr>
                <w:ilvl w:val="0"/>
                <w:numId w:val="28"/>
              </w:numPr>
              <w:jc w:val="left"/>
              <w:rPr>
                <w:color w:val="auto"/>
              </w:rPr>
            </w:pPr>
            <w:r>
              <w:rPr>
                <w:color w:val="auto"/>
              </w:rPr>
              <w:t xml:space="preserve">All those 80 years of age and over </w:t>
            </w:r>
          </w:p>
          <w:p w14:paraId="4E808591" w14:textId="77777777" w:rsidR="00E34CC3" w:rsidRDefault="00E34CC3" w:rsidP="00E34CC3">
            <w:pPr>
              <w:pStyle w:val="TableBody"/>
              <w:numPr>
                <w:ilvl w:val="0"/>
                <w:numId w:val="28"/>
              </w:numPr>
              <w:jc w:val="left"/>
              <w:rPr>
                <w:color w:val="auto"/>
              </w:rPr>
            </w:pPr>
            <w:r>
              <w:rPr>
                <w:color w:val="auto"/>
              </w:rPr>
              <w:t>Frontline health and social care workers (as included in COVID-19 –SARS-Cov-2 chapter of Green Book, JCVI statement and Scottish Government CMO letters)</w:t>
            </w:r>
          </w:p>
          <w:p w14:paraId="3390FCD2" w14:textId="77777777" w:rsidR="00E34CC3" w:rsidRDefault="00E34CC3" w:rsidP="00E34CC3">
            <w:pPr>
              <w:pStyle w:val="TableBody"/>
              <w:numPr>
                <w:ilvl w:val="0"/>
                <w:numId w:val="28"/>
              </w:numPr>
              <w:jc w:val="left"/>
              <w:rPr>
                <w:color w:val="auto"/>
              </w:rPr>
            </w:pPr>
            <w:r>
              <w:rPr>
                <w:color w:val="auto"/>
              </w:rPr>
              <w:t>All those 75 years of age and over</w:t>
            </w:r>
          </w:p>
          <w:p w14:paraId="5C3FC267" w14:textId="77777777" w:rsidR="00E34CC3" w:rsidRDefault="00E34CC3" w:rsidP="00E34CC3">
            <w:pPr>
              <w:pStyle w:val="TableBody"/>
              <w:numPr>
                <w:ilvl w:val="0"/>
                <w:numId w:val="28"/>
              </w:numPr>
              <w:jc w:val="left"/>
              <w:rPr>
                <w:color w:val="auto"/>
              </w:rPr>
            </w:pPr>
            <w:r>
              <w:rPr>
                <w:color w:val="auto"/>
              </w:rPr>
              <w:t>All those 70 years of age and over</w:t>
            </w:r>
          </w:p>
          <w:p w14:paraId="1511D983" w14:textId="77777777" w:rsidR="00E34CC3" w:rsidRDefault="00E34CC3" w:rsidP="00E34CC3">
            <w:pPr>
              <w:pStyle w:val="TableBody"/>
              <w:numPr>
                <w:ilvl w:val="0"/>
                <w:numId w:val="28"/>
              </w:numPr>
              <w:jc w:val="left"/>
            </w:pPr>
            <w:r>
              <w:rPr>
                <w:color w:val="auto"/>
              </w:rPr>
              <w:t xml:space="preserve">Clinically extremely vulnerable (CEV) individuals (not including all pregnant women and those under 16 years) as defined by Scottish Government at </w:t>
            </w:r>
            <w:hyperlink r:id="rId21" w:history="1">
              <w:r>
                <w:rPr>
                  <w:rStyle w:val="Hyperlink"/>
                </w:rPr>
                <w:t>https://www.gov.scot/publications/covid-shielding/pages/highest-risk-classification/</w:t>
              </w:r>
            </w:hyperlink>
          </w:p>
          <w:p w14:paraId="68D2463D" w14:textId="77777777" w:rsidR="00E34CC3" w:rsidRDefault="00E34CC3" w:rsidP="00E34CC3">
            <w:pPr>
              <w:pStyle w:val="TableBody"/>
              <w:numPr>
                <w:ilvl w:val="0"/>
                <w:numId w:val="28"/>
              </w:numPr>
              <w:jc w:val="left"/>
              <w:rPr>
                <w:color w:val="auto"/>
              </w:rPr>
            </w:pPr>
            <w:r>
              <w:rPr>
                <w:color w:val="auto"/>
              </w:rPr>
              <w:t>All those 65 years of age and over</w:t>
            </w:r>
          </w:p>
          <w:p w14:paraId="65DD6F38" w14:textId="77777777" w:rsidR="00E34CC3" w:rsidRDefault="00E34CC3" w:rsidP="00E34CC3">
            <w:pPr>
              <w:pStyle w:val="TableBody"/>
              <w:numPr>
                <w:ilvl w:val="0"/>
                <w:numId w:val="28"/>
              </w:numPr>
              <w:jc w:val="left"/>
              <w:rPr>
                <w:color w:val="auto"/>
              </w:rPr>
            </w:pPr>
            <w:r>
              <w:rPr>
                <w:color w:val="auto"/>
              </w:rPr>
              <w:t>Individuals aged 16 years to 64 years with underlying health conditions which puts them at higher risk of serious disease and mortality included in Table 3 COVID-19 –SARS-Cov-2 chapter 14a of Green Book*</w:t>
            </w:r>
          </w:p>
          <w:p w14:paraId="7B00A81C" w14:textId="77777777" w:rsidR="00E34CC3" w:rsidRDefault="00E34CC3" w:rsidP="00E34CC3">
            <w:pPr>
              <w:pStyle w:val="TableBody"/>
              <w:numPr>
                <w:ilvl w:val="0"/>
                <w:numId w:val="28"/>
              </w:numPr>
              <w:jc w:val="left"/>
              <w:rPr>
                <w:color w:val="auto"/>
              </w:rPr>
            </w:pPr>
            <w:r>
              <w:rPr>
                <w:color w:val="auto"/>
              </w:rPr>
              <w:t>All those 60 years of age and over</w:t>
            </w:r>
          </w:p>
          <w:p w14:paraId="633E222C" w14:textId="77777777" w:rsidR="00E34CC3" w:rsidRDefault="00E34CC3" w:rsidP="00E34CC3">
            <w:pPr>
              <w:pStyle w:val="TableBody"/>
              <w:numPr>
                <w:ilvl w:val="0"/>
                <w:numId w:val="28"/>
              </w:numPr>
              <w:jc w:val="left"/>
              <w:rPr>
                <w:color w:val="auto"/>
              </w:rPr>
            </w:pPr>
            <w:r>
              <w:rPr>
                <w:color w:val="auto"/>
              </w:rPr>
              <w:t>All those 55 years of age and over</w:t>
            </w:r>
          </w:p>
          <w:p w14:paraId="61B1D051" w14:textId="77777777" w:rsidR="00E34CC3" w:rsidRDefault="00E34CC3" w:rsidP="00E34CC3">
            <w:pPr>
              <w:pStyle w:val="TableBody"/>
              <w:numPr>
                <w:ilvl w:val="0"/>
                <w:numId w:val="28"/>
              </w:numPr>
              <w:jc w:val="left"/>
              <w:rPr>
                <w:color w:val="auto"/>
              </w:rPr>
            </w:pPr>
            <w:r>
              <w:rPr>
                <w:color w:val="auto"/>
              </w:rPr>
              <w:t>All those 50 years of age and over</w:t>
            </w:r>
          </w:p>
          <w:p w14:paraId="7D91A790" w14:textId="77777777" w:rsidR="00E34CC3" w:rsidRDefault="00E34CC3" w:rsidP="00E34CC3">
            <w:pPr>
              <w:pStyle w:val="TableBody"/>
              <w:numPr>
                <w:ilvl w:val="0"/>
                <w:numId w:val="28"/>
              </w:numPr>
              <w:jc w:val="left"/>
              <w:rPr>
                <w:color w:val="auto"/>
              </w:rPr>
            </w:pPr>
            <w:r>
              <w:rPr>
                <w:color w:val="auto"/>
              </w:rPr>
              <w:t>Further guidance for those under age 50 years not included in the above groups will follow in phase 2.</w:t>
            </w:r>
          </w:p>
          <w:p w14:paraId="57D62DFB" w14:textId="77777777" w:rsidR="00E34CC3" w:rsidRDefault="00E34CC3" w:rsidP="00E34CC3">
            <w:pPr>
              <w:pStyle w:val="TableBody"/>
              <w:jc w:val="left"/>
              <w:rPr>
                <w:color w:val="auto"/>
              </w:rPr>
            </w:pPr>
            <w:r>
              <w:rPr>
                <w:color w:val="auto"/>
              </w:rPr>
              <w:t>*This also includes those who are in receipt of a carer’s allowance, or those who are the main carer of an elderly or disabled person whose welfare may be at risk if the carer falls ill.</w:t>
            </w:r>
          </w:p>
          <w:p w14:paraId="4EAEDAF6" w14:textId="77777777" w:rsidR="00E34CC3" w:rsidRDefault="00E34CC3" w:rsidP="00E34CC3">
            <w:pPr>
              <w:pStyle w:val="TableBody"/>
              <w:jc w:val="left"/>
            </w:pPr>
            <w:r>
              <w:rPr>
                <w:color w:val="auto"/>
              </w:rPr>
              <w:t>The list above is not exhaustive, and clinician should apply clinical judgment to take into account the risk of COVID-19 exacerbating any underlying disease that a patient may have, as well as the risk of serious illness from COVID-19 itself. COVID-19 vaccine should be offered in such cases even if the individual is not in the clinical risk groups specified above, this may be provided under a Patient Specific Direction (PSD).</w:t>
            </w:r>
          </w:p>
        </w:tc>
      </w:tr>
      <w:tr w:rsidR="00E34CC3" w14:paraId="13270B0C" w14:textId="77777777" w:rsidTr="00E34CC3">
        <w:tblPrEx>
          <w:tblCellMar>
            <w:top w:w="28" w:type="dxa"/>
            <w:bottom w:w="57" w:type="dxa"/>
          </w:tblCellMar>
        </w:tblPrEx>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CB39F" w14:textId="77777777" w:rsidR="00E34CC3" w:rsidRDefault="00E34CC3">
            <w:pPr>
              <w:pStyle w:val="TableBody"/>
              <w:rPr>
                <w:b/>
              </w:rPr>
            </w:pPr>
            <w:r>
              <w:rPr>
                <w:b/>
              </w:rPr>
              <w:t>Exclusion criteria</w:t>
            </w:r>
          </w:p>
          <w:p w14:paraId="1093B953" w14:textId="77777777" w:rsidR="00E34CC3" w:rsidRDefault="00E34CC3">
            <w:pPr>
              <w:pStyle w:val="TableBody"/>
              <w:rPr>
                <w:b/>
              </w:rPr>
            </w:pPr>
          </w:p>
        </w:tc>
        <w:tc>
          <w:tcPr>
            <w:tcW w:w="6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96179" w14:textId="77777777" w:rsidR="00E34CC3" w:rsidRDefault="00E34CC3" w:rsidP="00E34CC3">
            <w:pPr>
              <w:pStyle w:val="Tablebullet1"/>
              <w:numPr>
                <w:ilvl w:val="0"/>
                <w:numId w:val="0"/>
              </w:numPr>
              <w:tabs>
                <w:tab w:val="left" w:pos="720"/>
              </w:tabs>
              <w:jc w:val="left"/>
              <w:rPr>
                <w:color w:val="auto"/>
              </w:rPr>
            </w:pPr>
            <w:r>
              <w:rPr>
                <w:color w:val="auto"/>
              </w:rPr>
              <w:t>The vaccine should not be given to:</w:t>
            </w:r>
          </w:p>
          <w:p w14:paraId="4A5D1AE6" w14:textId="77777777" w:rsidR="00E34CC3" w:rsidRDefault="00E34CC3" w:rsidP="00E34CC3">
            <w:pPr>
              <w:pStyle w:val="Tablebullet1"/>
              <w:numPr>
                <w:ilvl w:val="0"/>
                <w:numId w:val="28"/>
              </w:numPr>
              <w:tabs>
                <w:tab w:val="left" w:pos="720"/>
              </w:tabs>
              <w:jc w:val="left"/>
              <w:rPr>
                <w:color w:val="auto"/>
              </w:rPr>
            </w:pPr>
            <w:r>
              <w:rPr>
                <w:color w:val="auto"/>
              </w:rPr>
              <w:t>Those who have had a confirmed anaphylactic reaction to a previous dose of this COVID-19 vaccine</w:t>
            </w:r>
          </w:p>
          <w:p w14:paraId="70DDCF61" w14:textId="77777777" w:rsidR="00E34CC3" w:rsidRDefault="00E34CC3" w:rsidP="00E34CC3">
            <w:pPr>
              <w:pStyle w:val="Tablebullet1"/>
              <w:numPr>
                <w:ilvl w:val="0"/>
                <w:numId w:val="28"/>
              </w:numPr>
              <w:tabs>
                <w:tab w:val="left" w:pos="720"/>
              </w:tabs>
              <w:jc w:val="left"/>
              <w:rPr>
                <w:color w:val="auto"/>
              </w:rPr>
            </w:pPr>
            <w:r>
              <w:rPr>
                <w:color w:val="auto"/>
              </w:rPr>
              <w:t xml:space="preserve">Those who have had a confirmed anaphylactic reaction to any components of this vaccine </w:t>
            </w:r>
          </w:p>
          <w:p w14:paraId="0869B6AD" w14:textId="77777777" w:rsidR="00E34CC3" w:rsidRDefault="00E34CC3" w:rsidP="00E34CC3">
            <w:pPr>
              <w:pStyle w:val="Tablebullet1"/>
              <w:numPr>
                <w:ilvl w:val="0"/>
                <w:numId w:val="28"/>
              </w:numPr>
              <w:tabs>
                <w:tab w:val="left" w:pos="720"/>
              </w:tabs>
              <w:jc w:val="left"/>
              <w:rPr>
                <w:color w:val="auto"/>
              </w:rPr>
            </w:pPr>
            <w:r>
              <w:rPr>
                <w:color w:val="auto"/>
              </w:rPr>
              <w:t xml:space="preserve">Those with a history of immediate-onset anaphylaxis to multiple classes of drugs or unexplained anaphylaxis. </w:t>
            </w:r>
          </w:p>
          <w:p w14:paraId="5A91B6D4" w14:textId="77777777" w:rsidR="00E34CC3" w:rsidRDefault="00E34CC3" w:rsidP="00E34CC3">
            <w:pPr>
              <w:pStyle w:val="Tablebullet1"/>
              <w:numPr>
                <w:ilvl w:val="0"/>
                <w:numId w:val="28"/>
              </w:numPr>
              <w:tabs>
                <w:tab w:val="left" w:pos="720"/>
              </w:tabs>
              <w:jc w:val="left"/>
              <w:rPr>
                <w:color w:val="auto"/>
              </w:rPr>
            </w:pPr>
            <w:r>
              <w:rPr>
                <w:color w:val="auto"/>
              </w:rPr>
              <w:t>Those in whom no valid consent has been received</w:t>
            </w:r>
          </w:p>
          <w:p w14:paraId="231FD4C2" w14:textId="77777777" w:rsidR="00E34CC3" w:rsidRDefault="00E34CC3" w:rsidP="00E34CC3">
            <w:pPr>
              <w:pStyle w:val="Tablebullet1"/>
              <w:numPr>
                <w:ilvl w:val="0"/>
                <w:numId w:val="28"/>
              </w:numPr>
              <w:tabs>
                <w:tab w:val="left" w:pos="720"/>
              </w:tabs>
              <w:jc w:val="left"/>
              <w:rPr>
                <w:color w:val="auto"/>
              </w:rPr>
            </w:pPr>
            <w:r>
              <w:rPr>
                <w:color w:val="auto"/>
              </w:rPr>
              <w:t xml:space="preserve">Those who are under 16 years of age </w:t>
            </w:r>
          </w:p>
          <w:p w14:paraId="1731E5FA" w14:textId="77777777" w:rsidR="00E34CC3" w:rsidRDefault="00E34CC3" w:rsidP="00E34CC3">
            <w:pPr>
              <w:pStyle w:val="Tablebullet1"/>
              <w:numPr>
                <w:ilvl w:val="0"/>
                <w:numId w:val="28"/>
              </w:numPr>
              <w:tabs>
                <w:tab w:val="left" w:pos="720"/>
              </w:tabs>
              <w:jc w:val="left"/>
              <w:rPr>
                <w:color w:val="auto"/>
              </w:rPr>
            </w:pPr>
            <w:r>
              <w:rPr>
                <w:color w:val="auto"/>
              </w:rPr>
              <w:t>Women who are known to be pregnant (routine questioning about last menstrual period and/or pregnancy testing is not required before offering the vaccine)</w:t>
            </w:r>
          </w:p>
          <w:p w14:paraId="705076F1" w14:textId="77777777" w:rsidR="00E34CC3" w:rsidRDefault="00E34CC3" w:rsidP="00E34CC3">
            <w:pPr>
              <w:pStyle w:val="Tablebullet1"/>
              <w:numPr>
                <w:ilvl w:val="0"/>
                <w:numId w:val="28"/>
              </w:numPr>
              <w:tabs>
                <w:tab w:val="left" w:pos="720"/>
              </w:tabs>
              <w:jc w:val="left"/>
              <w:rPr>
                <w:color w:val="auto"/>
              </w:rPr>
            </w:pPr>
            <w:r>
              <w:rPr>
                <w:color w:val="auto"/>
              </w:rPr>
              <w:t>Those with confirmed COVID-19 infection to avoid confusing the differential diagnosis. As clinical deterioration can occur up to two weeks after infection, ideally vaccination should be deferred until around four weeks after onset of symptoms or from the first PCR positive specimen in those who are asymptomatic.</w:t>
            </w:r>
          </w:p>
          <w:p w14:paraId="59EFF48F" w14:textId="77777777" w:rsidR="00E34CC3" w:rsidRDefault="00E34CC3" w:rsidP="00E34CC3">
            <w:pPr>
              <w:pStyle w:val="Tablebullet1"/>
              <w:numPr>
                <w:ilvl w:val="0"/>
                <w:numId w:val="28"/>
              </w:numPr>
              <w:tabs>
                <w:tab w:val="left" w:pos="720"/>
              </w:tabs>
              <w:jc w:val="left"/>
              <w:rPr>
                <w:color w:val="auto"/>
              </w:rPr>
            </w:pPr>
            <w:r>
              <w:rPr>
                <w:color w:val="auto"/>
              </w:rPr>
              <w:t>Those with evidence of current deterioration of COVID-19 symptoms, deferral of vaccination may be considered to avoid incorrect attribution of any change in the person’s underlying condition to the vaccine.</w:t>
            </w:r>
          </w:p>
          <w:p w14:paraId="6585F946" w14:textId="77777777" w:rsidR="00E34CC3" w:rsidRDefault="00E34CC3" w:rsidP="00E34CC3">
            <w:pPr>
              <w:pStyle w:val="Tablebullet1"/>
              <w:numPr>
                <w:ilvl w:val="0"/>
                <w:numId w:val="28"/>
              </w:numPr>
              <w:tabs>
                <w:tab w:val="left" w:pos="720"/>
              </w:tabs>
              <w:jc w:val="left"/>
              <w:rPr>
                <w:color w:val="auto"/>
              </w:rPr>
            </w:pPr>
            <w:r>
              <w:rPr>
                <w:color w:val="auto"/>
              </w:rPr>
              <w:t xml:space="preserve">Those who are participating in a clinical trial of COVID-19 vaccines </w:t>
            </w:r>
          </w:p>
          <w:p w14:paraId="5FB8DEC6" w14:textId="77777777" w:rsidR="00E34CC3" w:rsidRDefault="00E34CC3" w:rsidP="00E34CC3">
            <w:pPr>
              <w:pStyle w:val="Tablebullet1"/>
              <w:numPr>
                <w:ilvl w:val="0"/>
                <w:numId w:val="28"/>
              </w:numPr>
              <w:tabs>
                <w:tab w:val="left" w:pos="720"/>
              </w:tabs>
              <w:jc w:val="left"/>
              <w:rPr>
                <w:color w:val="auto"/>
              </w:rPr>
            </w:pPr>
            <w:r>
              <w:rPr>
                <w:color w:val="auto"/>
              </w:rPr>
              <w:t>Those with acute febrile illness – consider postponing immunisation until individual has fully recovered.</w:t>
            </w:r>
          </w:p>
          <w:p w14:paraId="524744CB" w14:textId="77777777" w:rsidR="00E34CC3" w:rsidRDefault="00E34CC3" w:rsidP="00E34CC3">
            <w:pPr>
              <w:pStyle w:val="Tablebullet1"/>
              <w:numPr>
                <w:ilvl w:val="0"/>
                <w:numId w:val="28"/>
              </w:numPr>
              <w:tabs>
                <w:tab w:val="left" w:pos="720"/>
              </w:tabs>
              <w:jc w:val="left"/>
              <w:rPr>
                <w:color w:val="auto"/>
              </w:rPr>
            </w:pPr>
            <w:r>
              <w:rPr>
                <w:color w:val="auto"/>
              </w:rPr>
              <w:t>Those with evolving neurological condition – consider postponing immunisation until individual has stabilised.</w:t>
            </w:r>
          </w:p>
        </w:tc>
      </w:tr>
      <w:tr w:rsidR="00E34CC3" w14:paraId="46AA0F8F" w14:textId="77777777" w:rsidTr="00E34CC3">
        <w:tblPrEx>
          <w:tblCellMar>
            <w:top w:w="28" w:type="dxa"/>
            <w:bottom w:w="57" w:type="dxa"/>
          </w:tblCellMar>
        </w:tblPrEx>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F8308" w14:textId="77777777" w:rsidR="00E34CC3" w:rsidRDefault="00E34CC3">
            <w:pPr>
              <w:pStyle w:val="TableBody"/>
              <w:rPr>
                <w:b/>
              </w:rPr>
            </w:pPr>
            <w:r>
              <w:rPr>
                <w:b/>
              </w:rPr>
              <w:t>Cautions/need for further advice/ circumstances when further advice should be sought from a doctor</w:t>
            </w:r>
          </w:p>
          <w:p w14:paraId="28B2A22C" w14:textId="77777777" w:rsidR="00E34CC3" w:rsidRDefault="00E34CC3">
            <w:pPr>
              <w:pStyle w:val="TableBody"/>
            </w:pPr>
          </w:p>
        </w:tc>
        <w:tc>
          <w:tcPr>
            <w:tcW w:w="6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44AC6" w14:textId="77777777" w:rsidR="00E34CC3" w:rsidRDefault="00E34CC3" w:rsidP="00E34CC3">
            <w:pPr>
              <w:pStyle w:val="TableBody"/>
              <w:jc w:val="left"/>
              <w:rPr>
                <w:color w:val="auto"/>
              </w:rPr>
            </w:pPr>
            <w:r>
              <w:rPr>
                <w:color w:val="auto"/>
              </w:rPr>
              <w:t>The COVID-19 chapter of the Green Book advises that there are very few individuals who cannot receive COVID vaccine. Where there is doubt, rather than withholding vaccination, appropriate advice should be sought from the relevant specialist, or from the local immunisation or health protection team.</w:t>
            </w:r>
          </w:p>
          <w:p w14:paraId="07B57123" w14:textId="77777777" w:rsidR="00E34CC3" w:rsidRDefault="00E34CC3" w:rsidP="00E34CC3">
            <w:pPr>
              <w:pStyle w:val="TableBody"/>
              <w:jc w:val="left"/>
              <w:rPr>
                <w:color w:val="auto"/>
              </w:rPr>
            </w:pPr>
            <w:r>
              <w:rPr>
                <w:color w:val="auto"/>
              </w:rPr>
              <w:t xml:space="preserve">Individuals with a bleeding disorder may develop a haematoma at the injection site (see Route of Administration).  </w:t>
            </w:r>
          </w:p>
          <w:p w14:paraId="56C21212" w14:textId="77777777" w:rsidR="00E34CC3" w:rsidRDefault="00E34CC3" w:rsidP="00E34CC3">
            <w:pPr>
              <w:pStyle w:val="TableBody"/>
              <w:jc w:val="left"/>
              <w:rPr>
                <w:color w:val="auto"/>
              </w:rPr>
            </w:pPr>
            <w:r>
              <w:rPr>
                <w:rFonts w:cs="Frutiger 45 Light"/>
                <w:color w:val="000000"/>
                <w:sz w:val="23"/>
                <w:szCs w:val="23"/>
              </w:rPr>
              <w:t>The MHRA has advised that individuals with a history of anaphylaxis to food, an identified drug or vaccine, or an insect sting can receive any COVID-19 vaccine, as long as they are not known to be allergic to any component of the vaccine.</w:t>
            </w:r>
          </w:p>
          <w:p w14:paraId="6E3C2BE1" w14:textId="77777777" w:rsidR="00E34CC3" w:rsidRDefault="00E34CC3" w:rsidP="00E34CC3">
            <w:pPr>
              <w:pStyle w:val="TableBody"/>
              <w:jc w:val="left"/>
              <w:rPr>
                <w:color w:val="auto"/>
              </w:rPr>
            </w:pPr>
            <w:r>
              <w:rPr>
                <w:color w:val="auto"/>
              </w:rPr>
              <w:t>Because of the absence of data on co-administration with COVID-19 vaccines, it should not be routine to offer appointments to give this vaccine at the same time as other vaccines. Based on current information about the first COVID-19 vaccines being deployed, scheduling should ideally be separated by an interval of at least 7 days to avoid incorrect attribution of potential adverse events.</w:t>
            </w:r>
          </w:p>
          <w:p w14:paraId="156C53CC" w14:textId="77777777" w:rsidR="00E34CC3" w:rsidRDefault="00E34CC3" w:rsidP="00E34CC3">
            <w:pPr>
              <w:pStyle w:val="TableBody"/>
              <w:jc w:val="left"/>
              <w:rPr>
                <w:color w:val="auto"/>
              </w:rPr>
            </w:pPr>
            <w:r>
              <w:rPr>
                <w:color w:val="auto"/>
              </w:rPr>
              <w:t>As COVID-19 mRNA Vaccine BNT162b2 is considered inactivated, where individuals in an eligible cohort present having received another inactivated or live vaccine, COVID-19 vaccination should still be considered. The same applies for other live and inactivated vaccines where COVID-19 vaccination has been received first. In many cases, vaccination should proceed to avoid any further delay in protection and to avoid the risk of the patient not returning for a later appointment. In such circumstances, patients should be informed about the likely timing of potential adverse events relating to each vaccine.</w:t>
            </w:r>
          </w:p>
          <w:p w14:paraId="77D772BA" w14:textId="77777777" w:rsidR="00E34CC3" w:rsidRDefault="00E34CC3" w:rsidP="00E34CC3">
            <w:pPr>
              <w:pStyle w:val="TableBody"/>
              <w:jc w:val="left"/>
              <w:rPr>
                <w:color w:val="auto"/>
              </w:rPr>
            </w:pPr>
            <w:r>
              <w:rPr>
                <w:color w:val="auto"/>
              </w:rPr>
              <w:t>Syncope (fainting) 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p>
          <w:p w14:paraId="1F593D90" w14:textId="77777777" w:rsidR="00E34CC3" w:rsidRDefault="00E34CC3" w:rsidP="00E34CC3">
            <w:pPr>
              <w:pStyle w:val="TableBody"/>
              <w:jc w:val="left"/>
              <w:rPr>
                <w:color w:val="auto"/>
              </w:rPr>
            </w:pPr>
            <w:r>
              <w:rPr>
                <w:color w:val="auto"/>
              </w:rPr>
              <w:t>JCVI advise there is no known risk associated with giving these types of vaccines during pregnancy. These vaccines cannot replicate, so they cannot cause infection in either the woman or the unborn child.</w:t>
            </w:r>
          </w:p>
          <w:p w14:paraId="3D9B77AF" w14:textId="77777777" w:rsidR="00E34CC3" w:rsidRDefault="00E34CC3" w:rsidP="00E34CC3">
            <w:pPr>
              <w:pStyle w:val="TableBody"/>
              <w:jc w:val="left"/>
              <w:rPr>
                <w:color w:val="auto"/>
              </w:rPr>
            </w:pPr>
            <w:r>
              <w:rPr>
                <w:color w:val="auto"/>
              </w:rPr>
              <w:t>Although the available data do not indicate any safety concern or harm to pregnancy, there is insufficient evidence to recommend routine use of COVID-19 vaccines during pregnancy.</w:t>
            </w:r>
          </w:p>
          <w:p w14:paraId="104B3B29" w14:textId="77777777" w:rsidR="00E34CC3" w:rsidRDefault="00E34CC3" w:rsidP="00E34CC3">
            <w:pPr>
              <w:pStyle w:val="TableBody"/>
              <w:jc w:val="left"/>
              <w:rPr>
                <w:color w:val="auto"/>
              </w:rPr>
            </w:pPr>
            <w:r>
              <w:rPr>
                <w:color w:val="auto"/>
              </w:rPr>
              <w:t>JCVI advises that, for women who are offered vaccination with the Pfizer-BioNTech or AstraZeneca COVID-19 vaccines, vaccination in pregnancy should be considered where the risk of exposure to Severe Acute Respiratory Syndrome coronavirus 2 (SARS-CoV2) infection is high and cannot be avoided, or where the woman has underlying conditions that put them at very high risk of serious complications of COVID-19. In these circumstances, clinicians should discuss the risks and benefits of vaccination with the woman, who should be told about the absence of safety data for the vaccine in pregnant women.</w:t>
            </w:r>
          </w:p>
          <w:p w14:paraId="31294B6B" w14:textId="77777777" w:rsidR="00E34CC3" w:rsidRDefault="00E34CC3" w:rsidP="00E34CC3">
            <w:pPr>
              <w:pStyle w:val="TableBody"/>
              <w:jc w:val="left"/>
              <w:rPr>
                <w:color w:val="auto"/>
              </w:rPr>
            </w:pPr>
            <w:r>
              <w:rPr>
                <w:color w:val="auto"/>
              </w:rPr>
              <w:t>There is no known risk associated with giving non-live vaccines whilst breastfeeding. JCVI advises that breastfeeding women may be offered vaccination with the Pfizer-BioNTech or AstraZeneca COVID-19 vaccines.</w:t>
            </w:r>
          </w:p>
          <w:p w14:paraId="183F1234" w14:textId="77777777" w:rsidR="00E34CC3" w:rsidRDefault="00E34CC3" w:rsidP="00E34CC3">
            <w:pPr>
              <w:pStyle w:val="TableBody"/>
              <w:jc w:val="left"/>
              <w:rPr>
                <w:color w:val="auto"/>
              </w:rPr>
            </w:pPr>
            <w:r>
              <w:rPr>
                <w:color w:val="auto"/>
              </w:rPr>
              <w:t>The developmental and health benefits of breastfeeding should be considered along with the woman’s clinical need for immunisation against COVID-19, and the woman should be informed about the absence of safety data for the vaccine in breastfeeding women.</w:t>
            </w:r>
          </w:p>
        </w:tc>
      </w:tr>
      <w:tr w:rsidR="00E34CC3" w14:paraId="438D8422" w14:textId="77777777" w:rsidTr="00E34CC3">
        <w:tblPrEx>
          <w:tblCellMar>
            <w:top w:w="28" w:type="dxa"/>
            <w:bottom w:w="57" w:type="dxa"/>
          </w:tblCellMar>
        </w:tblPrEx>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3C369" w14:textId="77777777" w:rsidR="00E34CC3" w:rsidRDefault="00E34CC3">
            <w:pPr>
              <w:pStyle w:val="TableBody"/>
              <w:rPr>
                <w:b/>
              </w:rPr>
            </w:pPr>
            <w:r>
              <w:rPr>
                <w:b/>
              </w:rPr>
              <w:t>Action if excluded</w:t>
            </w:r>
          </w:p>
          <w:p w14:paraId="480C3A2F" w14:textId="77777777" w:rsidR="00E34CC3" w:rsidRDefault="00E34CC3">
            <w:pPr>
              <w:rPr>
                <w:b/>
              </w:rPr>
            </w:pPr>
          </w:p>
        </w:tc>
        <w:tc>
          <w:tcPr>
            <w:tcW w:w="6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0E8E8" w14:textId="77777777" w:rsidR="00E34CC3" w:rsidRDefault="00E34CC3" w:rsidP="00E34CC3">
            <w:pPr>
              <w:pStyle w:val="TableBody"/>
              <w:jc w:val="left"/>
              <w:rPr>
                <w:color w:val="auto"/>
              </w:rPr>
            </w:pPr>
            <w:r>
              <w:rPr>
                <w:color w:val="auto"/>
              </w:rPr>
              <w:t>Specialist advice should be sought on the vaccine and circumstances under which it could be given as vaccination using a patient specific direction may be indicated.</w:t>
            </w:r>
          </w:p>
          <w:p w14:paraId="4193B8DD" w14:textId="77777777" w:rsidR="00E34CC3" w:rsidRDefault="00E34CC3" w:rsidP="00E34CC3">
            <w:pPr>
              <w:pStyle w:val="TableBody"/>
              <w:jc w:val="left"/>
              <w:rPr>
                <w:color w:val="auto"/>
              </w:rPr>
            </w:pPr>
            <w:r>
              <w:rPr>
                <w:color w:val="auto"/>
              </w:rPr>
              <w:t>Individuals who are participating in a clinical trial of COVID-19 vaccines who present for vaccination should be referred back to the investigators.</w:t>
            </w:r>
          </w:p>
          <w:p w14:paraId="5B27D30C" w14:textId="77777777" w:rsidR="00E34CC3" w:rsidRDefault="00E34CC3" w:rsidP="00E34CC3">
            <w:pPr>
              <w:pStyle w:val="TableBody"/>
              <w:jc w:val="left"/>
              <w:rPr>
                <w:color w:val="auto"/>
              </w:rPr>
            </w:pPr>
            <w:r>
              <w:rPr>
                <w:color w:val="auto"/>
              </w:rPr>
              <w:t>In case of postponement due to acute illness or evolving neurological condition, advise when the individual can be vaccinated and ensure another appointment is arranged.</w:t>
            </w:r>
          </w:p>
          <w:p w14:paraId="21D84841" w14:textId="77777777" w:rsidR="00E34CC3" w:rsidRDefault="00E34CC3" w:rsidP="00E34CC3">
            <w:pPr>
              <w:pStyle w:val="TableBody"/>
              <w:jc w:val="left"/>
              <w:rPr>
                <w:color w:val="auto"/>
              </w:rPr>
            </w:pPr>
            <w:r>
              <w:rPr>
                <w:color w:val="auto"/>
              </w:rPr>
              <w:t>In case of postponement due to COVID-19 symptoms or positive COVID test in the last four weeks advise when the individual can be vaccinated and how future vaccination may be accessed.</w:t>
            </w:r>
          </w:p>
          <w:p w14:paraId="0158B7BD" w14:textId="77777777" w:rsidR="00E34CC3" w:rsidRDefault="00E34CC3" w:rsidP="00E34CC3">
            <w:pPr>
              <w:pStyle w:val="TableBody"/>
              <w:jc w:val="left"/>
            </w:pPr>
            <w:r>
              <w:rPr>
                <w:color w:val="auto"/>
              </w:rPr>
              <w:t>Document the reason for exclusion and any action taken in accordance with local procedures.</w:t>
            </w:r>
          </w:p>
        </w:tc>
      </w:tr>
      <w:tr w:rsidR="00E34CC3" w14:paraId="6A1ED24C" w14:textId="77777777" w:rsidTr="00E34CC3">
        <w:tblPrEx>
          <w:tblCellMar>
            <w:top w:w="28" w:type="dxa"/>
            <w:bottom w:w="57" w:type="dxa"/>
          </w:tblCellMar>
        </w:tblPrEx>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2E837" w14:textId="77777777" w:rsidR="00E34CC3" w:rsidRDefault="00E34CC3">
            <w:pPr>
              <w:pStyle w:val="TableBody"/>
              <w:rPr>
                <w:b/>
              </w:rPr>
            </w:pPr>
            <w:r>
              <w:rPr>
                <w:b/>
              </w:rPr>
              <w:t>Action if patient declines</w:t>
            </w:r>
          </w:p>
          <w:p w14:paraId="1B635F73" w14:textId="77777777" w:rsidR="00E34CC3" w:rsidRDefault="00E34CC3">
            <w:pPr>
              <w:pStyle w:val="TableBody"/>
              <w:rPr>
                <w:b/>
              </w:rPr>
            </w:pPr>
          </w:p>
        </w:tc>
        <w:tc>
          <w:tcPr>
            <w:tcW w:w="6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16D9B" w14:textId="77777777" w:rsidR="00E34CC3" w:rsidRDefault="00E34CC3" w:rsidP="00E34CC3">
            <w:pPr>
              <w:pStyle w:val="TableBody"/>
              <w:jc w:val="left"/>
              <w:rPr>
                <w:color w:val="auto"/>
              </w:rPr>
            </w:pPr>
            <w:r>
              <w:rPr>
                <w:color w:val="auto"/>
              </w:rPr>
              <w:t>Advise the individual/carer about the protective effects of the vaccine, the risks of infection and potential complications if not immunised.</w:t>
            </w:r>
          </w:p>
          <w:p w14:paraId="24E6C14E" w14:textId="77777777" w:rsidR="00E34CC3" w:rsidRDefault="00E34CC3" w:rsidP="00E34CC3">
            <w:pPr>
              <w:pStyle w:val="TableBody"/>
              <w:jc w:val="left"/>
              <w:rPr>
                <w:color w:val="auto"/>
              </w:rPr>
            </w:pPr>
            <w:r>
              <w:rPr>
                <w:color w:val="auto"/>
              </w:rPr>
              <w:t>Advise how future immunisation may be accessed if they subsequently decide to receive the COVID-19 vaccine</w:t>
            </w:r>
          </w:p>
          <w:p w14:paraId="439299B0" w14:textId="77777777" w:rsidR="00E34CC3" w:rsidRDefault="00E34CC3" w:rsidP="00E34CC3">
            <w:pPr>
              <w:pStyle w:val="TableBody"/>
              <w:jc w:val="left"/>
              <w:rPr>
                <w:color w:val="auto"/>
              </w:rPr>
            </w:pPr>
            <w:r>
              <w:rPr>
                <w:color w:val="auto"/>
              </w:rPr>
              <w:t xml:space="preserve">Document patient’s declined consent and advice given.  </w:t>
            </w:r>
          </w:p>
        </w:tc>
      </w:tr>
    </w:tbl>
    <w:p w14:paraId="3B7693E3" w14:textId="77777777" w:rsidR="00D920F1" w:rsidRDefault="00D920F1" w:rsidP="00D920F1">
      <w:pPr>
        <w:autoSpaceDN w:val="0"/>
        <w:spacing w:after="160" w:line="254" w:lineRule="auto"/>
        <w:rPr>
          <w:rFonts w:ascii="Arial" w:eastAsia="Times New Roman" w:hAnsi="Arial" w:cs="Arial"/>
          <w:b/>
          <w:sz w:val="24"/>
          <w:szCs w:val="24"/>
          <w:lang w:eastAsia="en-GB"/>
        </w:rPr>
      </w:pPr>
    </w:p>
    <w:p w14:paraId="4F1442FB" w14:textId="77777777" w:rsidR="00D920F1" w:rsidRDefault="00D920F1" w:rsidP="00D920F1">
      <w:pPr>
        <w:overflowPunct w:val="0"/>
        <w:autoSpaceDE w:val="0"/>
        <w:autoSpaceDN w:val="0"/>
        <w:adjustRightInd w:val="0"/>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2. Description of treatment</w:t>
      </w:r>
    </w:p>
    <w:p w14:paraId="575A7704" w14:textId="77777777" w:rsidR="00E34CC3" w:rsidRDefault="00E34CC3" w:rsidP="00D920F1">
      <w:pPr>
        <w:overflowPunct w:val="0"/>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0" w:type="auto"/>
        <w:tblInd w:w="0" w:type="dxa"/>
        <w:tblLook w:val="0620" w:firstRow="1" w:lastRow="0" w:firstColumn="0" w:lastColumn="0" w:noHBand="1" w:noVBand="1"/>
      </w:tblPr>
      <w:tblGrid>
        <w:gridCol w:w="2196"/>
        <w:gridCol w:w="6820"/>
      </w:tblGrid>
      <w:tr w:rsidR="00E34CC3" w:rsidRPr="00E34CC3" w14:paraId="2B0930F1" w14:textId="77777777" w:rsidTr="00E34CC3">
        <w:trPr>
          <w:cantSplit/>
          <w:tblHeader/>
        </w:trPr>
        <w:tc>
          <w:tcPr>
            <w:tcW w:w="2196" w:type="dxa"/>
            <w:tcBorders>
              <w:top w:val="single" w:sz="4" w:space="0" w:color="auto"/>
              <w:left w:val="single" w:sz="4" w:space="0" w:color="auto"/>
              <w:bottom w:val="single" w:sz="4" w:space="0" w:color="auto"/>
              <w:right w:val="single" w:sz="4" w:space="0" w:color="auto"/>
            </w:tcBorders>
            <w:hideMark/>
          </w:tcPr>
          <w:p w14:paraId="4494BA81" w14:textId="77777777" w:rsidR="00E34CC3" w:rsidRPr="00E34CC3" w:rsidRDefault="00E34CC3" w:rsidP="00E90C2E">
            <w:pPr>
              <w:pStyle w:val="TableHead"/>
              <w:rPr>
                <w:color w:val="auto"/>
              </w:rPr>
            </w:pPr>
            <w:r w:rsidRPr="00E34CC3">
              <w:rPr>
                <w:rFonts w:cstheme="minorBidi"/>
                <w:color w:val="auto"/>
              </w:rPr>
              <w:t>Category</w:t>
            </w:r>
          </w:p>
        </w:tc>
        <w:tc>
          <w:tcPr>
            <w:tcW w:w="6820" w:type="dxa"/>
            <w:tcBorders>
              <w:top w:val="single" w:sz="4" w:space="0" w:color="auto"/>
              <w:left w:val="single" w:sz="4" w:space="0" w:color="auto"/>
              <w:bottom w:val="single" w:sz="4" w:space="0" w:color="auto"/>
              <w:right w:val="single" w:sz="4" w:space="0" w:color="auto"/>
            </w:tcBorders>
            <w:hideMark/>
          </w:tcPr>
          <w:p w14:paraId="18C3CFD7" w14:textId="77777777" w:rsidR="00E34CC3" w:rsidRPr="00E34CC3" w:rsidRDefault="00E34CC3" w:rsidP="00E34CC3">
            <w:pPr>
              <w:pStyle w:val="TableHead"/>
              <w:rPr>
                <w:rFonts w:cstheme="minorBidi"/>
                <w:color w:val="auto"/>
              </w:rPr>
            </w:pPr>
            <w:r w:rsidRPr="00E34CC3">
              <w:rPr>
                <w:rFonts w:cstheme="minorBidi"/>
                <w:color w:val="auto"/>
              </w:rPr>
              <w:t>Description</w:t>
            </w:r>
          </w:p>
        </w:tc>
      </w:tr>
      <w:tr w:rsidR="00E34CC3" w14:paraId="2616FE31"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A74C1E" w14:textId="77777777" w:rsidR="00E34CC3" w:rsidRDefault="00E34CC3" w:rsidP="00E90C2E">
            <w:pPr>
              <w:pStyle w:val="TableBody"/>
              <w:rPr>
                <w:rFonts w:cstheme="minorBidi"/>
                <w:b/>
              </w:rPr>
            </w:pPr>
            <w:r>
              <w:rPr>
                <w:b/>
              </w:rPr>
              <w:t>Name of medicine</w:t>
            </w: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FE814" w14:textId="77777777" w:rsidR="00E34CC3" w:rsidRDefault="00E34CC3" w:rsidP="00E34CC3">
            <w:pPr>
              <w:pStyle w:val="TableBody"/>
              <w:jc w:val="left"/>
              <w:rPr>
                <w:color w:val="auto"/>
              </w:rPr>
            </w:pPr>
            <w:r>
              <w:rPr>
                <w:color w:val="auto"/>
              </w:rPr>
              <w:t>COVID-19 mRNA Vaccine BNT162b2 concentrate for solution for injection</w:t>
            </w:r>
          </w:p>
        </w:tc>
      </w:tr>
      <w:tr w:rsidR="00E34CC3" w14:paraId="2FA028CA"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256BF" w14:textId="77777777" w:rsidR="00E34CC3" w:rsidRDefault="00E34CC3" w:rsidP="00E90C2E">
            <w:pPr>
              <w:pStyle w:val="TableBody"/>
              <w:rPr>
                <w:b/>
              </w:rPr>
            </w:pPr>
            <w:r>
              <w:rPr>
                <w:b/>
              </w:rPr>
              <w:t>Form/strength</w:t>
            </w: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6B906" w14:textId="77777777" w:rsidR="00E34CC3" w:rsidRDefault="00E34CC3" w:rsidP="00E34CC3">
            <w:pPr>
              <w:pStyle w:val="TableBody"/>
              <w:jc w:val="left"/>
              <w:rPr>
                <w:bCs/>
                <w:iCs/>
                <w:color w:val="auto"/>
              </w:rPr>
            </w:pPr>
            <w:r>
              <w:rPr>
                <w:bCs/>
                <w:iCs/>
                <w:color w:val="auto"/>
              </w:rPr>
              <w:t xml:space="preserve">COVID-19 mRNA Vaccine BNT162b2 30micrograms/0.3ml dose concentrate for solution for injection multidose vials </w:t>
            </w:r>
          </w:p>
          <w:p w14:paraId="32D4FAA4" w14:textId="77777777" w:rsidR="00E34CC3" w:rsidRDefault="00E34CC3" w:rsidP="00E34CC3">
            <w:pPr>
              <w:pStyle w:val="TableBody"/>
              <w:jc w:val="left"/>
              <w:rPr>
                <w:color w:val="auto"/>
              </w:rPr>
            </w:pPr>
            <w:r>
              <w:rPr>
                <w:color w:val="auto"/>
              </w:rPr>
              <w:t xml:space="preserve">COVID-19 mRNA Vaccine BNT162b2 is a multidose vial and must be diluted with 1.8mL of 0.9% sodium chloride before use. 1 vial contains 5 doses of 30 micrograms of BNT162b2 RNA (embedded in lipid nanoparticles). </w:t>
            </w:r>
          </w:p>
        </w:tc>
      </w:tr>
      <w:tr w:rsidR="00E34CC3" w14:paraId="66BA2788"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A49A" w14:textId="77777777" w:rsidR="00E34CC3" w:rsidRDefault="00E34CC3" w:rsidP="00E90C2E">
            <w:pPr>
              <w:pStyle w:val="TableBody"/>
            </w:pPr>
            <w:bookmarkStart w:id="7" w:name="_Toc57039419"/>
            <w:r>
              <w:rPr>
                <w:b/>
              </w:rPr>
              <w:t>Route of</w:t>
            </w:r>
            <w:r>
              <w:t xml:space="preserve"> </w:t>
            </w:r>
            <w:r>
              <w:rPr>
                <w:b/>
              </w:rPr>
              <w:t>administration</w:t>
            </w:r>
            <w:bookmarkEnd w:id="7"/>
          </w:p>
          <w:p w14:paraId="5A3C6BE7" w14:textId="77777777" w:rsidR="00E34CC3" w:rsidRDefault="00E34CC3" w:rsidP="00E90C2E">
            <w:pPr>
              <w:pStyle w:val="TableBody"/>
            </w:pP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47374" w14:textId="77777777" w:rsidR="00E34CC3" w:rsidRDefault="00E34CC3" w:rsidP="00E34CC3">
            <w:pPr>
              <w:pStyle w:val="TableBody"/>
              <w:jc w:val="left"/>
              <w:rPr>
                <w:color w:val="auto"/>
              </w:rPr>
            </w:pPr>
            <w:r>
              <w:rPr>
                <w:color w:val="auto"/>
              </w:rPr>
              <w:t xml:space="preserve">After dilution, the vial contains 5 doses of 0.3 ml. Withdraw the required 0.3 mL dose of diluted vaccine using a sterile needle and syringe and administer. Vial volume was optimized to reliably obtain 5 doses regardless of syringe type used as most syringe and needle combinations require withdrawal of excess volume in order to ensure the full 0.3 mL dose of vaccine can be administered. </w:t>
            </w:r>
          </w:p>
          <w:p w14:paraId="54CE109E" w14:textId="77777777" w:rsidR="00E34CC3" w:rsidRDefault="00E34CC3" w:rsidP="00E34CC3">
            <w:pPr>
              <w:pStyle w:val="TableBody"/>
              <w:jc w:val="left"/>
              <w:rPr>
                <w:color w:val="auto"/>
              </w:rPr>
            </w:pPr>
            <w:r>
              <w:rPr>
                <w:color w:val="auto"/>
              </w:rPr>
              <w:t>When low dead-volume syringes and/or needles are used, the amount remaining in the vial after 5 doses have been extracted may be sufficient for an additional (sixth) dose. Care should be taken to ensure a full 0.3 mL will be administered to the subject and that all doses from a single prepared vial are administered within 6 hours of the time of dilution. Where a full 0.3 mL dose cannot be extracted the contents should be discarded. Any unused vaccine should be discarded 6 hours after dilution.</w:t>
            </w:r>
          </w:p>
          <w:p w14:paraId="00605153" w14:textId="77777777" w:rsidR="00E34CC3" w:rsidRDefault="00E34CC3" w:rsidP="00E34CC3">
            <w:pPr>
              <w:pStyle w:val="TableBody"/>
              <w:jc w:val="left"/>
              <w:rPr>
                <w:color w:val="auto"/>
              </w:rPr>
            </w:pPr>
            <w:r>
              <w:rPr>
                <w:color w:val="auto"/>
              </w:rPr>
              <w:t>COVID-19 mRNA Vaccine BNT162b2 must be administered by intramuscular (IM) injection preferably into the deltoid area of the upper arm.</w:t>
            </w:r>
            <w:r>
              <w:t xml:space="preserve"> Where administration into the deltoid is not possible the </w:t>
            </w:r>
            <w:r>
              <w:rPr>
                <w:color w:val="auto"/>
              </w:rPr>
              <w:t>anterolateral thigh can be considered.</w:t>
            </w:r>
          </w:p>
          <w:p w14:paraId="0A1C7B0D" w14:textId="77777777" w:rsidR="00E34CC3" w:rsidRDefault="00E34CC3" w:rsidP="00E34CC3">
            <w:pPr>
              <w:pStyle w:val="TableBody"/>
              <w:jc w:val="left"/>
              <w:rPr>
                <w:color w:val="auto"/>
              </w:rPr>
            </w:pPr>
            <w:r>
              <w:rPr>
                <w:color w:val="auto"/>
              </w:rPr>
              <w:t>Inspect visually prior to administration and ensure appearance is consistent with the description in the manufacturer’s product literature or summary of product characteristics.</w:t>
            </w:r>
          </w:p>
          <w:p w14:paraId="01A96769" w14:textId="77777777" w:rsidR="00E34CC3" w:rsidRDefault="00E34CC3" w:rsidP="00E34CC3">
            <w:pPr>
              <w:pStyle w:val="TableBody"/>
              <w:jc w:val="left"/>
              <w:rPr>
                <w:color w:val="auto"/>
              </w:rPr>
            </w:pPr>
            <w:r>
              <w:rPr>
                <w:color w:val="auto"/>
              </w:rPr>
              <w:t>Individuals with bleeding disorders may be vaccinated intramuscularly if, in the opinion of a doctor familiar with individual’s bleeding risk, vaccines or similar small volume intramuscular injections can be administered with reasonable safety by this route. If the individual receives medication/ treatment to reduce bleeding, for example treatment for haemophilia, intramuscular vaccination can be scheduled shortly after such medication/treatment is administered. Individuals on stable anticoagulation therapy, including individuals on warfarin who are up-to-date with their scheduled INR testing and whose latest INR is below the upper level of the therapeutic range, can receive intramuscular vaccination. A fine needle (23 or 25 gauge) should be used for the vaccination, followed by firm pressure applied to the site without rubbing for at least 2 minutes. The individual/parent/carer should be informed about the risk of haematoma from the injection.</w:t>
            </w:r>
          </w:p>
          <w:p w14:paraId="5AF0E626" w14:textId="77777777" w:rsidR="00E34CC3" w:rsidRDefault="00E34CC3" w:rsidP="00E34CC3">
            <w:pPr>
              <w:pStyle w:val="TableBody"/>
              <w:jc w:val="left"/>
              <w:rPr>
                <w:color w:val="auto"/>
              </w:rPr>
            </w:pPr>
            <w:r>
              <w:rPr>
                <w:color w:val="auto"/>
              </w:rPr>
              <w:t xml:space="preserve">The site at which each vaccine was given should be noted in the individual’s records.  </w:t>
            </w:r>
          </w:p>
        </w:tc>
      </w:tr>
      <w:tr w:rsidR="00E34CC3" w14:paraId="64184DEB"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B881E" w14:textId="77777777" w:rsidR="00E34CC3" w:rsidRDefault="00E34CC3" w:rsidP="00E90C2E">
            <w:pPr>
              <w:pStyle w:val="TableBody"/>
              <w:rPr>
                <w:b/>
              </w:rPr>
            </w:pPr>
            <w:bookmarkStart w:id="8" w:name="_Toc57039420"/>
            <w:r>
              <w:rPr>
                <w:b/>
              </w:rPr>
              <w:t>Dosage</w:t>
            </w:r>
            <w:bookmarkEnd w:id="8"/>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1961B" w14:textId="77777777" w:rsidR="00E34CC3" w:rsidRDefault="00E34CC3" w:rsidP="00E34CC3">
            <w:pPr>
              <w:pStyle w:val="TableBody"/>
              <w:jc w:val="left"/>
              <w:rPr>
                <w:color w:val="auto"/>
              </w:rPr>
            </w:pPr>
            <w:r>
              <w:rPr>
                <w:color w:val="auto"/>
              </w:rPr>
              <w:t>The dose of COVID-19 mRNA Vaccine BNT162b2 is 30 micrograms contained in 0.3mL of the diluted vaccine.</w:t>
            </w:r>
          </w:p>
        </w:tc>
      </w:tr>
      <w:tr w:rsidR="00E34CC3" w14:paraId="77EEB052"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20E7C" w14:textId="77777777" w:rsidR="00E34CC3" w:rsidRDefault="00E34CC3" w:rsidP="00E90C2E">
            <w:pPr>
              <w:pStyle w:val="TableBody"/>
              <w:rPr>
                <w:b/>
              </w:rPr>
            </w:pPr>
            <w:r>
              <w:rPr>
                <w:b/>
              </w:rPr>
              <w:t>Frequency</w:t>
            </w: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263EC" w14:textId="77777777" w:rsidR="00E34CC3" w:rsidRDefault="00E34CC3" w:rsidP="00E34CC3">
            <w:pPr>
              <w:pStyle w:val="TableBody"/>
              <w:jc w:val="left"/>
              <w:rPr>
                <w:bCs/>
                <w:iCs/>
                <w:color w:val="auto"/>
              </w:rPr>
            </w:pPr>
            <w:r>
              <w:rPr>
                <w:color w:val="auto"/>
              </w:rPr>
              <w:t xml:space="preserve">COVID-19 mRNA Vaccine BNT162b2 </w:t>
            </w:r>
            <w:r>
              <w:rPr>
                <w:bCs/>
                <w:iCs/>
                <w:color w:val="auto"/>
              </w:rPr>
              <w:t>course consists of two separate doses of 0.3ml each, a minimum of 21 days apart.</w:t>
            </w:r>
          </w:p>
          <w:p w14:paraId="05E0030B" w14:textId="77777777" w:rsidR="00E34CC3" w:rsidRDefault="00E34CC3" w:rsidP="00E34CC3">
            <w:pPr>
              <w:pStyle w:val="TableBody"/>
              <w:jc w:val="left"/>
              <w:rPr>
                <w:bCs/>
                <w:iCs/>
                <w:color w:val="auto"/>
              </w:rPr>
            </w:pPr>
            <w:r>
              <w:rPr>
                <w:bCs/>
                <w:iCs/>
                <w:color w:val="auto"/>
              </w:rPr>
              <w:t>Operationally, it is recommended in the COVID-19 chapter of Green Book that the second dose of both vaccines should be routinely scheduled between four and 12 weeks after the first dose. This will allow more people to benefit from the protection provided from the first dose during the roll out phase. Longer term protection will then be provided by the second dose.</w:t>
            </w:r>
          </w:p>
          <w:p w14:paraId="7DE17A36" w14:textId="77777777" w:rsidR="00E34CC3" w:rsidRDefault="00E34CC3" w:rsidP="00E34CC3">
            <w:pPr>
              <w:pStyle w:val="TableBody"/>
              <w:jc w:val="left"/>
              <w:rPr>
                <w:color w:val="auto"/>
              </w:rPr>
            </w:pPr>
            <w:r>
              <w:rPr>
                <w:color w:val="auto"/>
              </w:rPr>
              <w:t>If an interval longer than the recommended interval is left between doses, the second dose should still be given (preferably using the same vaccine as was given for the first dose if possible). The course does not need to be restarted.</w:t>
            </w:r>
          </w:p>
          <w:p w14:paraId="4E1A52D1" w14:textId="77777777" w:rsidR="00E34CC3" w:rsidRDefault="00E34CC3" w:rsidP="00E34CC3">
            <w:pPr>
              <w:pStyle w:val="TableBody"/>
              <w:jc w:val="left"/>
              <w:rPr>
                <w:color w:val="auto"/>
              </w:rPr>
            </w:pPr>
            <w:r>
              <w:rPr>
                <w:color w:val="auto"/>
              </w:rPr>
              <w:t>JCVI advises that the second vaccine dose should be with the same vaccine as for the first dose. Switching between vaccines or missing the second dose is not advised as this may affect the duration of protection.</w:t>
            </w:r>
          </w:p>
          <w:p w14:paraId="62E7F6AA" w14:textId="77777777" w:rsidR="00E34CC3" w:rsidRDefault="00E34CC3" w:rsidP="00E34CC3">
            <w:pPr>
              <w:pStyle w:val="TableBody"/>
              <w:jc w:val="left"/>
              <w:rPr>
                <w:color w:val="auto"/>
              </w:rPr>
            </w:pPr>
            <w:r>
              <w:rPr>
                <w:color w:val="auto"/>
              </w:rPr>
              <w:t>There is no evidence on the interchangeability of the COVID-19 vaccines although studies are underway. Therefore, every effort should be made to determine which vaccine the individual received and to complete with the same vaccine. For individuals who started the schedule and who attend for vaccination at a site where the same vaccine is not available, or if the first product received is unknown, it is reasonable to offer a single dose of the locally available product. This option is preferred if the individual is likely to be at immediate high risk or is considered unlikely to attend again. In these circumstances, as both the vaccines are based on the spike protein, it is likely the second dose will help to boost the response to the first dose. For this reason, until additional information becomes available, further doses are not required.</w:t>
            </w:r>
          </w:p>
        </w:tc>
      </w:tr>
      <w:tr w:rsidR="00E34CC3" w14:paraId="68DFF839"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EF2E74" w14:textId="77777777" w:rsidR="00E34CC3" w:rsidRDefault="00E34CC3" w:rsidP="00E90C2E">
            <w:pPr>
              <w:pStyle w:val="TableBody"/>
              <w:rPr>
                <w:b/>
              </w:rPr>
            </w:pPr>
            <w:bookmarkStart w:id="9" w:name="_Toc57039422"/>
            <w:r>
              <w:rPr>
                <w:b/>
              </w:rPr>
              <w:t>Duration of treatment</w:t>
            </w:r>
            <w:bookmarkEnd w:id="9"/>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5EAEF" w14:textId="77777777" w:rsidR="00E34CC3" w:rsidRDefault="00E34CC3" w:rsidP="00E34CC3">
            <w:pPr>
              <w:pStyle w:val="TableBody"/>
              <w:jc w:val="left"/>
              <w:rPr>
                <w:color w:val="auto"/>
              </w:rPr>
            </w:pPr>
            <w:r>
              <w:rPr>
                <w:color w:val="auto"/>
              </w:rPr>
              <w:t xml:space="preserve">See Dose and frequency of administration above. </w:t>
            </w:r>
          </w:p>
          <w:p w14:paraId="7DA2C802" w14:textId="77777777" w:rsidR="00E34CC3" w:rsidRDefault="00E34CC3" w:rsidP="00E34CC3">
            <w:pPr>
              <w:pStyle w:val="TableBody"/>
              <w:jc w:val="left"/>
              <w:rPr>
                <w:color w:val="auto"/>
              </w:rPr>
            </w:pPr>
            <w:r>
              <w:rPr>
                <w:color w:val="auto"/>
              </w:rPr>
              <w:t>Booster doses of COVID-19 vaccine are not yet recommended because the need for, and timing of, boosters has not yet been determined.</w:t>
            </w:r>
          </w:p>
        </w:tc>
      </w:tr>
      <w:tr w:rsidR="00E34CC3" w14:paraId="61752736"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29A84" w14:textId="77777777" w:rsidR="00E34CC3" w:rsidRDefault="00E34CC3" w:rsidP="00E90C2E">
            <w:pPr>
              <w:pStyle w:val="TableBody"/>
              <w:rPr>
                <w:b/>
              </w:rPr>
            </w:pPr>
            <w:bookmarkStart w:id="10" w:name="_Toc57039423"/>
            <w:r>
              <w:rPr>
                <w:b/>
              </w:rPr>
              <w:t>Maximum or minimum treatment period</w:t>
            </w:r>
            <w:bookmarkEnd w:id="10"/>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EA4CD" w14:textId="77777777" w:rsidR="00E34CC3" w:rsidRDefault="00E34CC3" w:rsidP="00E34CC3">
            <w:pPr>
              <w:pStyle w:val="TableBody"/>
              <w:jc w:val="left"/>
              <w:rPr>
                <w:color w:val="auto"/>
              </w:rPr>
            </w:pPr>
            <w:r>
              <w:rPr>
                <w:color w:val="auto"/>
              </w:rPr>
              <w:t>See Frequency of administration above.</w:t>
            </w:r>
          </w:p>
        </w:tc>
      </w:tr>
      <w:tr w:rsidR="00E34CC3" w14:paraId="3EE93D99"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6E1B2E" w14:textId="77777777" w:rsidR="00E34CC3" w:rsidRDefault="00E34CC3" w:rsidP="00E90C2E">
            <w:pPr>
              <w:pStyle w:val="TableBody"/>
              <w:rPr>
                <w:b/>
              </w:rPr>
            </w:pPr>
            <w:bookmarkStart w:id="11" w:name="_Toc57039424"/>
            <w:r>
              <w:rPr>
                <w:b/>
              </w:rPr>
              <w:t>Quantity to supply/administer</w:t>
            </w:r>
            <w:bookmarkEnd w:id="11"/>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15A860" w14:textId="77777777" w:rsidR="00E34CC3" w:rsidRDefault="00E34CC3" w:rsidP="00E34CC3">
            <w:pPr>
              <w:pStyle w:val="TableBody"/>
              <w:jc w:val="left"/>
              <w:rPr>
                <w:color w:val="auto"/>
              </w:rPr>
            </w:pPr>
            <w:r>
              <w:rPr>
                <w:color w:val="auto"/>
              </w:rPr>
              <w:t>Administer 30 micrograms in 0.3mL per administration.</w:t>
            </w:r>
          </w:p>
        </w:tc>
      </w:tr>
      <w:tr w:rsidR="00E34CC3" w14:paraId="37362250"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CDE71" w14:textId="77777777" w:rsidR="00E34CC3" w:rsidRDefault="00E34CC3" w:rsidP="00E90C2E">
            <w:pPr>
              <w:pStyle w:val="TableBody"/>
              <w:rPr>
                <w:b/>
              </w:rPr>
            </w:pPr>
            <w:bookmarkStart w:id="12" w:name="_Toc57039425"/>
            <w:r>
              <w:rPr>
                <w:b/>
              </w:rPr>
              <w:t>▼ black triangle medicines</w:t>
            </w:r>
            <w:bookmarkEnd w:id="12"/>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E4FF1" w14:textId="77777777" w:rsidR="00E34CC3" w:rsidRDefault="00E34CC3" w:rsidP="00E34CC3">
            <w:pPr>
              <w:pStyle w:val="TableBody"/>
              <w:jc w:val="left"/>
              <w:rPr>
                <w:color w:val="auto"/>
              </w:rPr>
            </w:pPr>
            <w:r>
              <w:rPr>
                <w:color w:val="auto"/>
              </w:rPr>
              <w:t xml:space="preserve">COVID-19 mRNA Vaccine BNT162b2 did not have a UK marketing authorisation at the time this </w:t>
            </w:r>
            <w:r w:rsidR="005A1DB5">
              <w:rPr>
                <w:color w:val="auto"/>
              </w:rPr>
              <w:t>protocol</w:t>
            </w:r>
            <w:r>
              <w:rPr>
                <w:color w:val="auto"/>
              </w:rPr>
              <w:t xml:space="preserve"> was written and is authorised for temporary supply in the UK in accordance with a Regulation 174 authorisation. </w:t>
            </w:r>
          </w:p>
          <w:p w14:paraId="4BEDC7E9" w14:textId="77777777" w:rsidR="00E34CC3" w:rsidRDefault="00E34CC3" w:rsidP="00E34CC3">
            <w:pPr>
              <w:pStyle w:val="TableBody"/>
              <w:jc w:val="left"/>
              <w:rPr>
                <w:color w:val="auto"/>
              </w:rPr>
            </w:pPr>
            <w:r>
              <w:rPr>
                <w:color w:val="auto"/>
              </w:rPr>
              <w:t xml:space="preserve">All adverse reactions occurring in individuals of any age after vaccination should be reported to the MHRA using the Coronavirus Yellow Card Scheme. Anyone can report a suspected adverse reaction to the MHRA using the Coronavirus Yellow Card reporting scheme </w:t>
            </w:r>
          </w:p>
          <w:p w14:paraId="7C1B1D0B" w14:textId="77777777" w:rsidR="00E34CC3" w:rsidRDefault="00602F78" w:rsidP="00E34CC3">
            <w:pPr>
              <w:pStyle w:val="TableBody"/>
              <w:jc w:val="left"/>
            </w:pPr>
            <w:hyperlink r:id="rId22" w:history="1">
              <w:r w:rsidR="00E34CC3">
                <w:rPr>
                  <w:rStyle w:val="Hyperlink"/>
                </w:rPr>
                <w:t>https://coronavirus-yellowcard.mhra.gov.uk/</w:t>
              </w:r>
            </w:hyperlink>
          </w:p>
        </w:tc>
      </w:tr>
      <w:tr w:rsidR="00E34CC3" w14:paraId="57A9F912"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F1F85" w14:textId="77777777" w:rsidR="00E34CC3" w:rsidRDefault="00E34CC3" w:rsidP="00E90C2E">
            <w:pPr>
              <w:pStyle w:val="TableBody"/>
              <w:rPr>
                <w:b/>
              </w:rPr>
            </w:pPr>
            <w:bookmarkStart w:id="13" w:name="_Toc57039426"/>
            <w:r>
              <w:rPr>
                <w:b/>
              </w:rPr>
              <w:t>Legal category</w:t>
            </w:r>
            <w:bookmarkEnd w:id="13"/>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F8FD98" w14:textId="77777777" w:rsidR="00E34CC3" w:rsidRDefault="00E34CC3" w:rsidP="00E34CC3">
            <w:pPr>
              <w:pStyle w:val="TableBody"/>
              <w:jc w:val="left"/>
              <w:rPr>
                <w:color w:val="auto"/>
              </w:rPr>
            </w:pPr>
            <w:r>
              <w:rPr>
                <w:color w:val="auto"/>
              </w:rPr>
              <w:t>COVID-19 mRNA Vaccine BNT162b2 is provided temporary authorisation by the Medicines &amp; Healthcare products Regulatory Agency (MHRA) for supply in the UK under regulation 174 and 174A, pending UK marketing authorisation.</w:t>
            </w:r>
          </w:p>
          <w:p w14:paraId="4125869C" w14:textId="77777777" w:rsidR="00E34CC3" w:rsidRDefault="00E34CC3" w:rsidP="00E34CC3">
            <w:pPr>
              <w:pStyle w:val="TableBody"/>
              <w:jc w:val="left"/>
            </w:pPr>
            <w:r>
              <w:rPr>
                <w:color w:val="auto"/>
              </w:rPr>
              <w:t>The regulation 174 authorised product is categorised as a prescription only medicine (POM).</w:t>
            </w:r>
          </w:p>
        </w:tc>
      </w:tr>
      <w:tr w:rsidR="00E34CC3" w14:paraId="394E0F2D"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FEAF" w14:textId="77777777" w:rsidR="00E34CC3" w:rsidRDefault="00E34CC3" w:rsidP="00E90C2E">
            <w:pPr>
              <w:pStyle w:val="TableBody"/>
              <w:rPr>
                <w:b/>
              </w:rPr>
            </w:pPr>
            <w:bookmarkStart w:id="14" w:name="_Toc57039427"/>
            <w:r>
              <w:rPr>
                <w:b/>
              </w:rPr>
              <w:t>Is the use out with the SPC</w:t>
            </w:r>
            <w:bookmarkEnd w:id="14"/>
            <w:r>
              <w:rPr>
                <w:b/>
              </w:rPr>
              <w:t>?</w:t>
            </w:r>
          </w:p>
          <w:p w14:paraId="566B3C91" w14:textId="77777777" w:rsidR="00E34CC3" w:rsidRDefault="00E34CC3" w:rsidP="00E90C2E">
            <w:pPr>
              <w:pStyle w:val="TableBody"/>
              <w:rPr>
                <w:b/>
              </w:rPr>
            </w:pP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F5AF8" w14:textId="77777777" w:rsidR="00E34CC3" w:rsidRDefault="00E34CC3" w:rsidP="00E34CC3">
            <w:pPr>
              <w:pStyle w:val="TableBody"/>
              <w:jc w:val="left"/>
              <w:rPr>
                <w:color w:val="auto"/>
              </w:rPr>
            </w:pPr>
            <w:r>
              <w:rPr>
                <w:color w:val="auto"/>
              </w:rPr>
              <w:t xml:space="preserve">COVID-19 mRNA Vaccine BNT162b2 is supplied in the UK in accordance with regulation 174 and did not have a UK marketing authorisation at the time of writing this </w:t>
            </w:r>
            <w:r w:rsidR="005A1DB5">
              <w:rPr>
                <w:color w:val="auto"/>
              </w:rPr>
              <w:t>protocol</w:t>
            </w:r>
            <w:r>
              <w:rPr>
                <w:color w:val="auto"/>
              </w:rPr>
              <w:t xml:space="preserve">. </w:t>
            </w:r>
          </w:p>
          <w:p w14:paraId="6151C332" w14:textId="77777777" w:rsidR="00E34CC3" w:rsidRDefault="00E34CC3" w:rsidP="00E34CC3">
            <w:pPr>
              <w:pStyle w:val="TableBody"/>
              <w:jc w:val="left"/>
              <w:rPr>
                <w:color w:val="auto"/>
              </w:rPr>
            </w:pPr>
            <w:r>
              <w:rPr>
                <w:color w:val="auto"/>
              </w:rPr>
              <w:t>As part of the consent process, inform the individual/carer that this vaccine does not have a UK marketing authorisation but has been authorised for temporary supply in the UK by the MHRA and that it is being offered in accordance with national guidance.</w:t>
            </w:r>
          </w:p>
          <w:p w14:paraId="18BA2C9C" w14:textId="77777777" w:rsidR="00E34CC3" w:rsidRDefault="00E34CC3" w:rsidP="00E34CC3">
            <w:pPr>
              <w:pStyle w:val="TableBody"/>
              <w:jc w:val="left"/>
            </w:pPr>
            <w:r>
              <w:rPr>
                <w:color w:val="auto"/>
              </w:rPr>
              <w:t xml:space="preserve">The vaccine manufacturer’s information for UK healthcare professionals states that the vaccine should be given as a series of two doses (0.3mL, each) 21 days apart. This is superseded by the JCVI advice </w:t>
            </w:r>
            <w:r>
              <w:rPr>
                <w:bCs/>
                <w:iCs/>
                <w:color w:val="auto"/>
              </w:rPr>
              <w:t>that the second dose of both vaccines should be routinely scheduled between four and 12 weeks after the first dose. This will allow more people to benefit from the protection provided from the first dose during the roll out phase. Longer term protection will then be provided by the second dose.</w:t>
            </w:r>
          </w:p>
        </w:tc>
      </w:tr>
      <w:tr w:rsidR="00E34CC3" w14:paraId="4B320300"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F529" w14:textId="77777777" w:rsidR="00E34CC3" w:rsidRDefault="00E34CC3" w:rsidP="00E90C2E">
            <w:pPr>
              <w:pStyle w:val="TableBody"/>
              <w:rPr>
                <w:b/>
              </w:rPr>
            </w:pPr>
            <w:bookmarkStart w:id="15" w:name="_Toc57039428"/>
            <w:r>
              <w:rPr>
                <w:b/>
              </w:rPr>
              <w:t>Storage requirements</w:t>
            </w:r>
            <w:bookmarkEnd w:id="15"/>
          </w:p>
          <w:p w14:paraId="26D1E822" w14:textId="77777777" w:rsidR="00E34CC3" w:rsidRDefault="00E34CC3" w:rsidP="00E90C2E">
            <w:pPr>
              <w:pStyle w:val="TableBody"/>
              <w:rPr>
                <w:b/>
              </w:rPr>
            </w:pP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329B5" w14:textId="77777777" w:rsidR="00E34CC3" w:rsidRDefault="00E34CC3" w:rsidP="00E34CC3">
            <w:pPr>
              <w:pStyle w:val="TableBody"/>
              <w:jc w:val="left"/>
              <w:rPr>
                <w:color w:val="auto"/>
              </w:rPr>
            </w:pPr>
            <w:r>
              <w:rPr>
                <w:color w:val="auto"/>
              </w:rPr>
              <w:t>COVID-19 mRNA Vaccine BNT162b2 must be stored frozen at ultra-low temperature in accordance with manufacturer’s advice.</w:t>
            </w:r>
          </w:p>
          <w:p w14:paraId="2323EEEE" w14:textId="77777777" w:rsidR="00E34CC3" w:rsidRDefault="00E34CC3" w:rsidP="00E34CC3">
            <w:pPr>
              <w:pStyle w:val="TableBody"/>
              <w:jc w:val="left"/>
              <w:rPr>
                <w:color w:val="auto"/>
              </w:rPr>
            </w:pPr>
            <w:r>
              <w:rPr>
                <w:color w:val="auto"/>
              </w:rPr>
              <w:t>Once removed from the freezer BNT162b2 vaccine can be stored for 5 days in a fridge between +2 to +8°C prior to dilution.</w:t>
            </w:r>
          </w:p>
          <w:p w14:paraId="3491E2B3" w14:textId="77777777" w:rsidR="00E34CC3" w:rsidRDefault="00E34CC3" w:rsidP="00E34CC3">
            <w:pPr>
              <w:pStyle w:val="TableBody"/>
              <w:jc w:val="left"/>
              <w:rPr>
                <w:color w:val="auto"/>
              </w:rPr>
            </w:pPr>
            <w:r>
              <w:rPr>
                <w:color w:val="auto"/>
              </w:rPr>
              <w:t>NHS Board guidance on Storage and Handling of vaccines should be observed.</w:t>
            </w:r>
          </w:p>
          <w:p w14:paraId="5BB2B661" w14:textId="77777777" w:rsidR="00E34CC3" w:rsidRDefault="00E34CC3" w:rsidP="00E34CC3">
            <w:pPr>
              <w:pStyle w:val="TableBody"/>
              <w:jc w:val="left"/>
              <w:rPr>
                <w:color w:val="auto"/>
              </w:rPr>
            </w:pPr>
            <w:r>
              <w:rPr>
                <w:color w:val="auto"/>
              </w:rPr>
              <w:t xml:space="preserve">COVID-19 mRNA Vaccine BNT162b2 should be diluted as close to use as possible. However, reconstituted vaccine which is not required immediately must be used within 6 hours from the time of dilution and stored between +2°C to +25°C. </w:t>
            </w:r>
          </w:p>
          <w:p w14:paraId="720BA0C5" w14:textId="77777777" w:rsidR="00E34CC3" w:rsidRDefault="00E34CC3" w:rsidP="00E34CC3">
            <w:pPr>
              <w:pStyle w:val="TableBody"/>
              <w:jc w:val="left"/>
              <w:rPr>
                <w:color w:val="auto"/>
              </w:rPr>
            </w:pPr>
            <w:r>
              <w:rPr>
                <w:color w:val="auto"/>
              </w:rPr>
              <w:t>The vaccine vial has space to write the date and time of dilution; write this on the vial label.</w:t>
            </w:r>
          </w:p>
          <w:p w14:paraId="4323973C" w14:textId="77777777" w:rsidR="00E34CC3" w:rsidRDefault="00E34CC3" w:rsidP="00E34CC3">
            <w:pPr>
              <w:pStyle w:val="TableBody"/>
              <w:jc w:val="left"/>
              <w:rPr>
                <w:color w:val="auto"/>
              </w:rPr>
            </w:pPr>
            <w:r>
              <w:rPr>
                <w:color w:val="auto"/>
              </w:rPr>
              <w:t>During storage, minimise exposure to room light and avoid exposure to direct sunlight and ultraviolet light.</w:t>
            </w:r>
          </w:p>
          <w:p w14:paraId="476DA167" w14:textId="77777777" w:rsidR="00E34CC3" w:rsidRDefault="00E34CC3" w:rsidP="00E34CC3">
            <w:pPr>
              <w:pStyle w:val="TableBody"/>
              <w:jc w:val="left"/>
              <w:rPr>
                <w:color w:val="auto"/>
              </w:rPr>
            </w:pPr>
            <w:r>
              <w:rPr>
                <w:color w:val="auto"/>
              </w:rPr>
              <w:t>In the event of an inadvertent or unavoidable deviation of these conditions, vaccine that has been stored outside the conditions stated above should be quarantined and risk assessed for suitability of continued use or appropriate disposal.</w:t>
            </w:r>
          </w:p>
          <w:p w14:paraId="53D5C6A1" w14:textId="77777777" w:rsidR="00E34CC3" w:rsidRDefault="00E34CC3" w:rsidP="00E34CC3">
            <w:pPr>
              <w:pStyle w:val="TableBody"/>
              <w:jc w:val="left"/>
              <w:rPr>
                <w:color w:val="auto"/>
              </w:rPr>
            </w:pPr>
            <w:r>
              <w:rPr>
                <w:color w:val="auto"/>
              </w:rPr>
              <w:t>The manufacturer may advise of updated storage requirements and product stability as new data becomes available, vaccine may be stored in accordance with updated recommendations from the manufacturer.</w:t>
            </w:r>
          </w:p>
        </w:tc>
      </w:tr>
      <w:tr w:rsidR="00E34CC3" w14:paraId="6B86A0EB" w14:textId="77777777" w:rsidTr="00E34CC3">
        <w:tblPrEx>
          <w:tblCellMar>
            <w:top w:w="28" w:type="dxa"/>
            <w:bottom w:w="57" w:type="dxa"/>
          </w:tblCellMar>
        </w:tblPrEx>
        <w:tc>
          <w:tcPr>
            <w:tcW w:w="2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A0225" w14:textId="77777777" w:rsidR="00E34CC3" w:rsidRDefault="00E34CC3" w:rsidP="00E90C2E">
            <w:pPr>
              <w:pStyle w:val="TableBody"/>
              <w:rPr>
                <w:b/>
              </w:rPr>
            </w:pPr>
            <w:bookmarkStart w:id="16" w:name="_Toc57039429"/>
            <w:r>
              <w:rPr>
                <w:b/>
              </w:rPr>
              <w:t>Additional information</w:t>
            </w:r>
            <w:bookmarkEnd w:id="16"/>
          </w:p>
          <w:p w14:paraId="0D213BE8" w14:textId="77777777" w:rsidR="00E34CC3" w:rsidRDefault="00E34CC3" w:rsidP="00E90C2E">
            <w:pPr>
              <w:pStyle w:val="TableBody"/>
              <w:rPr>
                <w:b/>
              </w:rPr>
            </w:pPr>
          </w:p>
        </w:tc>
        <w:tc>
          <w:tcPr>
            <w:tcW w:w="6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3ED6D" w14:textId="77777777" w:rsidR="00E34CC3" w:rsidRDefault="00E34CC3" w:rsidP="00E34CC3">
            <w:pPr>
              <w:pStyle w:val="TableBody"/>
              <w:jc w:val="left"/>
              <w:rPr>
                <w:color w:val="auto"/>
              </w:rPr>
            </w:pPr>
            <w:r>
              <w:rPr>
                <w:color w:val="auto"/>
              </w:rPr>
              <w:t>Minor illnesses without fever or systemic upset are not valid reasons to postpone immunisation. If an individual is acutely unwell, immunisation should be postponed until they have fully recovered.</w:t>
            </w:r>
          </w:p>
          <w:p w14:paraId="64B846A3" w14:textId="77777777" w:rsidR="00E34CC3" w:rsidRDefault="00E34CC3" w:rsidP="00E34CC3">
            <w:pPr>
              <w:pStyle w:val="TableBody"/>
              <w:jc w:val="left"/>
              <w:rPr>
                <w:color w:val="auto"/>
              </w:rPr>
            </w:pPr>
            <w:r>
              <w:rPr>
                <w:color w:val="auto"/>
              </w:rPr>
              <w:t>There is no evidence of any safety concerns from vaccinating individuals with a past history of COVID-19 infection, or with detectable COVID-19 antibody. Inclusion of antibody positive individuals in the Pfizer phase 3 analysis did not give any safety signals.</w:t>
            </w:r>
          </w:p>
          <w:p w14:paraId="0C7AC577" w14:textId="77777777" w:rsidR="00E34CC3" w:rsidRDefault="00E34CC3" w:rsidP="00E34CC3">
            <w:pPr>
              <w:pStyle w:val="TableBody"/>
              <w:jc w:val="left"/>
              <w:rPr>
                <w:color w:val="auto"/>
              </w:rPr>
            </w:pPr>
            <w:r>
              <w:rPr>
                <w:color w:val="auto"/>
              </w:rPr>
              <w:t>Vaccination of individuals who may be infected but asymptomatic or incubating COVID-19 infection is unlikely to have a detrimental effect on the illness. Vaccination should be deferred in those with confirmed infection to avoid confusing the differential diagnosis. As clinical deterioration can occur up to two weeks after infection, ideally vaccination should be deferred until around four weeks after onset of symptoms or from the first PCR positive specimen in those who are asymptomatic.</w:t>
            </w:r>
          </w:p>
          <w:p w14:paraId="5CF62F6F" w14:textId="77777777" w:rsidR="00E34CC3" w:rsidRDefault="00E34CC3" w:rsidP="00E34CC3">
            <w:pPr>
              <w:pStyle w:val="TableBody"/>
              <w:jc w:val="left"/>
            </w:pPr>
            <w:r>
              <w:rPr>
                <w:color w:val="auto"/>
              </w:rPr>
              <w:t>Having prolonged COVID-19 symptoms is not a contraindication to receiving COVID-19 vaccine but if the patient is seriously debilitated, still under active investigation, or has evidence of recent deterioration, deferral of vaccination may be considered to avoid incorrect attribution of any change in the person’s underlying condition to the vaccine.</w:t>
            </w:r>
          </w:p>
        </w:tc>
      </w:tr>
    </w:tbl>
    <w:p w14:paraId="26D85148" w14:textId="77777777" w:rsidR="00E34CC3" w:rsidRDefault="00E34CC3" w:rsidP="00E34CC3">
      <w:pPr>
        <w:rPr>
          <w:rFonts w:ascii="Arial" w:hAnsi="Arial" w:cs="Arial"/>
          <w:b/>
          <w:sz w:val="24"/>
          <w:szCs w:val="24"/>
        </w:rPr>
      </w:pPr>
      <w:bookmarkStart w:id="17" w:name="_Toc60298146"/>
      <w:bookmarkStart w:id="18" w:name="_Toc57105454"/>
      <w:bookmarkStart w:id="19" w:name="_Toc57039430"/>
    </w:p>
    <w:p w14:paraId="53B2FF03" w14:textId="77777777" w:rsidR="00E34CC3" w:rsidRPr="00E34CC3" w:rsidRDefault="00E34CC3" w:rsidP="00E34CC3">
      <w:pPr>
        <w:rPr>
          <w:rFonts w:ascii="Arial" w:hAnsi="Arial" w:cs="Arial"/>
          <w:b/>
          <w:sz w:val="24"/>
          <w:szCs w:val="24"/>
        </w:rPr>
      </w:pPr>
      <w:r>
        <w:rPr>
          <w:rFonts w:ascii="Arial" w:hAnsi="Arial" w:cs="Arial"/>
          <w:b/>
          <w:sz w:val="24"/>
          <w:szCs w:val="24"/>
        </w:rPr>
        <w:t xml:space="preserve">3. </w:t>
      </w:r>
      <w:r w:rsidRPr="00E34CC3">
        <w:rPr>
          <w:rFonts w:ascii="Arial" w:hAnsi="Arial" w:cs="Arial"/>
          <w:b/>
          <w:sz w:val="24"/>
          <w:szCs w:val="24"/>
        </w:rPr>
        <w:t>Adverse reactions</w:t>
      </w:r>
      <w:bookmarkEnd w:id="17"/>
      <w:bookmarkEnd w:id="18"/>
    </w:p>
    <w:tbl>
      <w:tblPr>
        <w:tblStyle w:val="TableGrid"/>
        <w:tblW w:w="0" w:type="auto"/>
        <w:tblInd w:w="0" w:type="dxa"/>
        <w:tblLook w:val="0620" w:firstRow="1" w:lastRow="0" w:firstColumn="0" w:lastColumn="0" w:noHBand="1" w:noVBand="1"/>
      </w:tblPr>
      <w:tblGrid>
        <w:gridCol w:w="2077"/>
        <w:gridCol w:w="6939"/>
      </w:tblGrid>
      <w:tr w:rsidR="00E34CC3" w:rsidRPr="00E34CC3" w14:paraId="3C9597EB" w14:textId="77777777" w:rsidTr="00E90C2E">
        <w:trPr>
          <w:cantSplit/>
          <w:tblHeader/>
        </w:trPr>
        <w:tc>
          <w:tcPr>
            <w:tcW w:w="2263" w:type="dxa"/>
            <w:tcBorders>
              <w:top w:val="single" w:sz="4" w:space="0" w:color="auto"/>
              <w:left w:val="single" w:sz="4" w:space="0" w:color="auto"/>
              <w:bottom w:val="single" w:sz="4" w:space="0" w:color="auto"/>
              <w:right w:val="single" w:sz="4" w:space="0" w:color="auto"/>
            </w:tcBorders>
            <w:hideMark/>
          </w:tcPr>
          <w:p w14:paraId="14EDF75A" w14:textId="77777777" w:rsidR="00E34CC3" w:rsidRPr="00E34CC3" w:rsidRDefault="00E34CC3" w:rsidP="00E90C2E">
            <w:pPr>
              <w:pStyle w:val="TableHead"/>
              <w:rPr>
                <w:color w:val="auto"/>
              </w:rPr>
            </w:pPr>
            <w:r w:rsidRPr="00E34CC3">
              <w:rPr>
                <w:rFonts w:cstheme="minorBidi"/>
                <w:color w:val="auto"/>
              </w:rPr>
              <w:t>Category</w:t>
            </w:r>
          </w:p>
        </w:tc>
        <w:tc>
          <w:tcPr>
            <w:tcW w:w="7931" w:type="dxa"/>
            <w:tcBorders>
              <w:top w:val="single" w:sz="4" w:space="0" w:color="auto"/>
              <w:left w:val="single" w:sz="4" w:space="0" w:color="auto"/>
              <w:bottom w:val="single" w:sz="4" w:space="0" w:color="auto"/>
              <w:right w:val="single" w:sz="4" w:space="0" w:color="auto"/>
            </w:tcBorders>
            <w:hideMark/>
          </w:tcPr>
          <w:p w14:paraId="0836E255" w14:textId="77777777" w:rsidR="00E34CC3" w:rsidRPr="00E34CC3" w:rsidRDefault="00E34CC3" w:rsidP="00E34CC3">
            <w:pPr>
              <w:pStyle w:val="TableHead"/>
              <w:rPr>
                <w:rFonts w:cstheme="minorBidi"/>
                <w:color w:val="auto"/>
              </w:rPr>
            </w:pPr>
            <w:r w:rsidRPr="00E34CC3">
              <w:rPr>
                <w:rFonts w:cstheme="minorBidi"/>
                <w:color w:val="auto"/>
              </w:rPr>
              <w:t>Description</w:t>
            </w:r>
          </w:p>
        </w:tc>
      </w:tr>
      <w:tr w:rsidR="00E34CC3" w14:paraId="4A7EBED3" w14:textId="77777777" w:rsidTr="00E90C2E">
        <w:tblPrEx>
          <w:tblCellMar>
            <w:top w:w="28" w:type="dxa"/>
            <w:bottom w:w="57" w:type="dxa"/>
          </w:tblCellMar>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1DF52" w14:textId="77777777" w:rsidR="00E34CC3" w:rsidRDefault="00E34CC3" w:rsidP="00E90C2E">
            <w:pPr>
              <w:pStyle w:val="TableBody"/>
              <w:rPr>
                <w:rFonts w:cstheme="minorBidi"/>
                <w:b/>
              </w:rPr>
            </w:pPr>
            <w:r>
              <w:rPr>
                <w:b/>
              </w:rPr>
              <w:t>Warnings including possible adverse reactions and management of these</w:t>
            </w:r>
          </w:p>
        </w:tc>
        <w:tc>
          <w:tcPr>
            <w:tcW w:w="7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13B88" w14:textId="77777777" w:rsidR="00E34CC3" w:rsidRDefault="00E34CC3" w:rsidP="00E34CC3">
            <w:pPr>
              <w:pStyle w:val="TableBody"/>
              <w:jc w:val="left"/>
              <w:rPr>
                <w:color w:val="auto"/>
              </w:rPr>
            </w:pPr>
            <w:r>
              <w:rPr>
                <w:color w:val="auto"/>
              </w:rPr>
              <w:t>Local reactions at the injection site are fairly common after COVID-19 mRNA Vaccine BNT162b2 primarily pain at the injection site, usually without redness and swelling. Systemic events reported were generally mild and short lived. In the final safety analysis of over 21,000 participants 16 years and older, the most common events were injection site pain (&gt;80%), fatigue (&gt;60%), and headache (&gt;50%). Myalgia, arthralgia and chills were also common with fever in 10-20%. Most were classified as mild or moderate. Lymphadenopathy was reported in less than 1%.</w:t>
            </w:r>
          </w:p>
          <w:p w14:paraId="7B25BC13" w14:textId="77777777" w:rsidR="00E34CC3" w:rsidRDefault="00E34CC3" w:rsidP="00E34CC3">
            <w:pPr>
              <w:pStyle w:val="TableBody"/>
              <w:jc w:val="left"/>
              <w:rPr>
                <w:color w:val="auto"/>
              </w:rPr>
            </w:pPr>
            <w:r>
              <w:rPr>
                <w:color w:val="auto"/>
              </w:rPr>
              <w:t>In an earlier analysis of around 8,000 recipients, severe side effects, defined as those that interfere with daily activity, included fatigue in around 4% and headache in 2%. Older adults tend to report fewer adverse events following vaccination. This earlier analysis also showed no signal for enhanced disease in vaccine recipients with only 1 case of severe COVID in the 8 vaccine failures at that time.</w:t>
            </w:r>
          </w:p>
          <w:p w14:paraId="71AD25C7" w14:textId="77777777" w:rsidR="00E34CC3" w:rsidRDefault="00E34CC3" w:rsidP="00E34CC3">
            <w:pPr>
              <w:pStyle w:val="TableBody"/>
              <w:jc w:val="left"/>
              <w:rPr>
                <w:color w:val="auto"/>
              </w:rPr>
            </w:pPr>
            <w:r>
              <w:rPr>
                <w:color w:val="auto"/>
              </w:rPr>
              <w:t>A protocol for the management of anaphylaxis and an anaphylaxis pack must always be available whenever COVID-19 mRNA Vaccine BNT162b2 is given. Immediate treatment should include early treatment with 0.5mg intramuscular adrenaline (0.5ml of 1:1000 or 1mg/ml adrenaline), with an early call for help and further IM adrenaline every 5 minutes. The health professionals overseeing the immunisation service must be trained to recognise an anaphylactic reaction and be familiar with techniques for resuscitation of a patient with anaphylaxis.</w:t>
            </w:r>
          </w:p>
          <w:p w14:paraId="1A8F2D52" w14:textId="77777777" w:rsidR="00E34CC3" w:rsidRDefault="00E34CC3" w:rsidP="00E34CC3">
            <w:pPr>
              <w:pStyle w:val="TableBody"/>
              <w:jc w:val="left"/>
              <w:rPr>
                <w:color w:val="auto"/>
              </w:rPr>
            </w:pPr>
            <w:r>
              <w:rPr>
                <w:color w:val="auto"/>
              </w:rPr>
              <w:t>In the event of a severe adverse reaction individual should be advised to seek medical advice.</w:t>
            </w:r>
          </w:p>
          <w:p w14:paraId="01CA572B" w14:textId="77777777" w:rsidR="00E34CC3" w:rsidRDefault="00E34CC3" w:rsidP="00E34CC3">
            <w:pPr>
              <w:pStyle w:val="TableBody"/>
              <w:jc w:val="left"/>
              <w:rPr>
                <w:color w:val="auto"/>
              </w:rPr>
            </w:pPr>
            <w:r>
              <w:rPr>
                <w:color w:val="auto"/>
              </w:rPr>
              <w:t>For full details/information on possible adverse reaction, refer to manufacturer’s product literature or summary of product characteristics.</w:t>
            </w:r>
          </w:p>
        </w:tc>
      </w:tr>
      <w:tr w:rsidR="00E34CC3" w14:paraId="4DA51BFC" w14:textId="77777777" w:rsidTr="00E90C2E">
        <w:tblPrEx>
          <w:tblCellMar>
            <w:top w:w="28" w:type="dxa"/>
            <w:bottom w:w="57" w:type="dxa"/>
          </w:tblCellMar>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72F4" w14:textId="77777777" w:rsidR="00E34CC3" w:rsidRDefault="00E34CC3" w:rsidP="00E90C2E">
            <w:pPr>
              <w:pStyle w:val="TableBody"/>
              <w:rPr>
                <w:b/>
              </w:rPr>
            </w:pPr>
            <w:bookmarkStart w:id="20" w:name="_Toc57039431"/>
            <w:r>
              <w:rPr>
                <w:b/>
              </w:rPr>
              <w:t>Reporting procedure for adverse reactions</w:t>
            </w:r>
            <w:bookmarkEnd w:id="20"/>
          </w:p>
          <w:p w14:paraId="6425E45D" w14:textId="77777777" w:rsidR="00E34CC3" w:rsidRDefault="00E34CC3" w:rsidP="00E90C2E">
            <w:pPr>
              <w:pStyle w:val="TableBody"/>
              <w:rPr>
                <w:b/>
              </w:rPr>
            </w:pPr>
          </w:p>
        </w:tc>
        <w:tc>
          <w:tcPr>
            <w:tcW w:w="7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B6A904" w14:textId="77777777" w:rsidR="00E34CC3" w:rsidRDefault="00E34CC3" w:rsidP="00E34CC3">
            <w:pPr>
              <w:pStyle w:val="TableBody"/>
              <w:jc w:val="left"/>
              <w:rPr>
                <w:color w:val="auto"/>
              </w:rPr>
            </w:pPr>
            <w:r>
              <w:rPr>
                <w:color w:val="auto"/>
              </w:rPr>
              <w:t>Healthcare professionals and individuals/carers should report suspected adverse reactions to the Medicines and Healthcare products Regulatory Agency (MHRA) using the Coronavirus Yellow Card reporting scheme on:</w:t>
            </w:r>
            <w:hyperlink r:id="rId23" w:history="1">
              <w:r>
                <w:rPr>
                  <w:rStyle w:val="Hyperlink"/>
                </w:rPr>
                <w:t>https://coronavirus-yellowcard.mhra.gov.uk/</w:t>
              </w:r>
            </w:hyperlink>
          </w:p>
          <w:p w14:paraId="267EC124" w14:textId="77777777" w:rsidR="00E34CC3" w:rsidRDefault="00E34CC3" w:rsidP="00E34CC3">
            <w:pPr>
              <w:pStyle w:val="TableBody"/>
              <w:jc w:val="left"/>
            </w:pPr>
            <w:r>
              <w:rPr>
                <w:color w:val="auto"/>
              </w:rPr>
              <w:t xml:space="preserve">As this vaccine is labelled with a black triangle, all adverse reactions occurring in individuals of any age after vaccination should be reported to the MHRA using the Coronavirus Yellow Card Scheme. Anyone can report a suspected adverse reaction to the MHRA using the Coronavirus Yellow Card reporting scheme </w:t>
            </w:r>
            <w:hyperlink r:id="rId24" w:history="1">
              <w:r>
                <w:rPr>
                  <w:rStyle w:val="Hyperlink"/>
                </w:rPr>
                <w:t>https://coronavirus-yellowcard.mhra.gov.uk/</w:t>
              </w:r>
            </w:hyperlink>
          </w:p>
          <w:p w14:paraId="67C44EE1" w14:textId="77777777" w:rsidR="00E34CC3" w:rsidRDefault="00E34CC3" w:rsidP="00E34CC3">
            <w:pPr>
              <w:pStyle w:val="TableBody"/>
              <w:jc w:val="left"/>
              <w:rPr>
                <w:color w:val="auto"/>
              </w:rPr>
            </w:pPr>
            <w:r>
              <w:rPr>
                <w:color w:val="auto"/>
              </w:rPr>
              <w:t>Any adverse reaction to a vaccine should be documented in accordance with locally agreed procedures in the individual’s record and the individual’s GP should be informed.</w:t>
            </w:r>
          </w:p>
          <w:p w14:paraId="7112EE8B" w14:textId="77777777" w:rsidR="00E34CC3" w:rsidRDefault="00E34CC3" w:rsidP="00E34CC3">
            <w:pPr>
              <w:pStyle w:val="TableBody"/>
              <w:jc w:val="left"/>
              <w:rPr>
                <w:color w:val="auto"/>
              </w:rPr>
            </w:pPr>
            <w:r>
              <w:rPr>
                <w:color w:val="auto"/>
              </w:rPr>
              <w:t>Anaphylaxis is a very rare, recognised side effect of most vaccines and suspected cases should be reported via the Coronavirus Yellow Card Scheme. Chapter 8 of the Green Book gives detailed guidance on distinguishing between faints, panic attacks and the signs and symptoms of anaphylaxis. If a case of suspected anaphylaxis meets the clinical features described in Chapter 8, this should be reported via the Yellow Card Scheme as a case of ‘anaphylaxis’ (or if appropriate ‘anaphylactoid reaction’). Cases of less severe allergic reactions (i.e. not including the clinical features of anaphylaxis) should not be reported as anaphylaxis but as ‘allergic reaction’.</w:t>
            </w:r>
          </w:p>
          <w:p w14:paraId="7E563E68" w14:textId="77777777" w:rsidR="00E34CC3" w:rsidRDefault="00E34CC3" w:rsidP="00E34CC3">
            <w:pPr>
              <w:pStyle w:val="TableBody"/>
              <w:jc w:val="left"/>
            </w:pPr>
            <w:r>
              <w:rPr>
                <w:color w:val="auto"/>
              </w:rPr>
              <w:t>Programmatic Adverse Events should be recorded in line with local procedures and where appropriate escalated in accordance with the national framework.</w:t>
            </w:r>
          </w:p>
        </w:tc>
      </w:tr>
      <w:tr w:rsidR="00E34CC3" w14:paraId="5095E539" w14:textId="77777777" w:rsidTr="00E90C2E">
        <w:tblPrEx>
          <w:tblCellMar>
            <w:top w:w="28" w:type="dxa"/>
            <w:bottom w:w="57" w:type="dxa"/>
          </w:tblCellMar>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F644B" w14:textId="77777777" w:rsidR="00E34CC3" w:rsidRDefault="00E34CC3" w:rsidP="00E90C2E">
            <w:pPr>
              <w:pStyle w:val="TableBody"/>
              <w:rPr>
                <w:b/>
              </w:rPr>
            </w:pPr>
            <w:bookmarkStart w:id="21" w:name="_Toc57039432"/>
            <w:r>
              <w:rPr>
                <w:b/>
              </w:rPr>
              <w:t>Advice to patient or carer including written information</w:t>
            </w:r>
            <w:bookmarkEnd w:id="21"/>
          </w:p>
        </w:tc>
        <w:tc>
          <w:tcPr>
            <w:tcW w:w="7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7719A" w14:textId="77777777" w:rsidR="00E34CC3" w:rsidRDefault="00E34CC3" w:rsidP="00E34CC3">
            <w:pPr>
              <w:pStyle w:val="TableBody"/>
              <w:jc w:val="left"/>
              <w:rPr>
                <w:color w:val="auto"/>
              </w:rPr>
            </w:pPr>
            <w:r>
              <w:rPr>
                <w:color w:val="auto"/>
              </w:rPr>
              <w:t>Written information to be given to individual</w:t>
            </w:r>
          </w:p>
          <w:p w14:paraId="273E116A" w14:textId="77777777" w:rsidR="00E34CC3" w:rsidRDefault="00E34CC3" w:rsidP="00E34CC3">
            <w:pPr>
              <w:pStyle w:val="TableBody"/>
              <w:numPr>
                <w:ilvl w:val="0"/>
                <w:numId w:val="28"/>
              </w:numPr>
              <w:jc w:val="left"/>
              <w:rPr>
                <w:color w:val="auto"/>
              </w:rPr>
            </w:pPr>
            <w:r>
              <w:rPr>
                <w:color w:val="auto"/>
              </w:rPr>
              <w:t xml:space="preserve">Provide manufacturer’s consumer information leaflet/patient information leaflet (PIL) provided with the vaccine.  </w:t>
            </w:r>
          </w:p>
          <w:p w14:paraId="132EDBB7" w14:textId="77777777" w:rsidR="00E34CC3" w:rsidRDefault="00E34CC3" w:rsidP="00E34CC3">
            <w:pPr>
              <w:pStyle w:val="TableBody"/>
              <w:numPr>
                <w:ilvl w:val="0"/>
                <w:numId w:val="28"/>
              </w:numPr>
              <w:jc w:val="left"/>
              <w:rPr>
                <w:color w:val="auto"/>
              </w:rPr>
            </w:pPr>
            <w:r>
              <w:rPr>
                <w:color w:val="auto"/>
              </w:rPr>
              <w:t>Provide copy of Public Health Scotland post- vaccination leaflet</w:t>
            </w:r>
          </w:p>
          <w:p w14:paraId="07AFA48C" w14:textId="77777777" w:rsidR="00E34CC3" w:rsidRDefault="00E34CC3" w:rsidP="00E34CC3">
            <w:pPr>
              <w:pStyle w:val="TableBody"/>
              <w:numPr>
                <w:ilvl w:val="0"/>
                <w:numId w:val="28"/>
              </w:numPr>
              <w:jc w:val="left"/>
              <w:rPr>
                <w:color w:val="auto"/>
              </w:rPr>
            </w:pPr>
            <w:r>
              <w:rPr>
                <w:color w:val="auto"/>
              </w:rPr>
              <w:t>Provide copy of Pregnant, planning a pregnancy or breastfeeding, a guide to COVID-19 vaccine to women of child bearing years</w:t>
            </w:r>
          </w:p>
          <w:p w14:paraId="784830A6" w14:textId="77777777" w:rsidR="00E34CC3" w:rsidRDefault="00E34CC3" w:rsidP="00E34CC3">
            <w:pPr>
              <w:pStyle w:val="TableBody"/>
              <w:jc w:val="left"/>
              <w:rPr>
                <w:color w:val="auto"/>
              </w:rPr>
            </w:pPr>
            <w:r>
              <w:rPr>
                <w:color w:val="auto"/>
              </w:rPr>
              <w:t>Individual advice / follow up treatment</w:t>
            </w:r>
          </w:p>
          <w:p w14:paraId="047F4D70" w14:textId="77777777" w:rsidR="00E34CC3" w:rsidRDefault="00E34CC3" w:rsidP="00E34CC3">
            <w:pPr>
              <w:pStyle w:val="TableBody"/>
              <w:numPr>
                <w:ilvl w:val="0"/>
                <w:numId w:val="28"/>
              </w:numPr>
              <w:jc w:val="left"/>
              <w:rPr>
                <w:color w:val="auto"/>
              </w:rPr>
            </w:pPr>
            <w:r>
              <w:rPr>
                <w:color w:val="auto"/>
              </w:rPr>
              <w:t xml:space="preserve">Inform the individual/carer of possible side effects and their management. </w:t>
            </w:r>
          </w:p>
          <w:p w14:paraId="22CA825A" w14:textId="77777777" w:rsidR="00E34CC3" w:rsidRDefault="00E34CC3" w:rsidP="00E34CC3">
            <w:pPr>
              <w:pStyle w:val="TableBody"/>
              <w:numPr>
                <w:ilvl w:val="0"/>
                <w:numId w:val="28"/>
              </w:numPr>
              <w:jc w:val="left"/>
              <w:rPr>
                <w:color w:val="auto"/>
              </w:rPr>
            </w:pPr>
            <w:r>
              <w:rPr>
                <w:color w:val="auto"/>
              </w:rPr>
              <w:t xml:space="preserve">Vaccinated individuals should be advised that it is common to develop a fever after vaccination and that this normally happens within 48 hours after the vaccination and usually goes away within 48 hours. This is a common, expected reaction, and self-isolation and testing for COVID-19 are not required unless the individual has other COVID-19 symptoms; has been told by NHS Test and Protect they are a close contact of someone who has tested positive for COVID-19; they live with someone who has recently tested positive for COVID-19; or they live with someone who has symptoms of COVID-19. </w:t>
            </w:r>
          </w:p>
          <w:p w14:paraId="4DF7872B" w14:textId="77777777" w:rsidR="00E34CC3" w:rsidRDefault="00E34CC3" w:rsidP="00E34CC3">
            <w:pPr>
              <w:pStyle w:val="TableBody"/>
              <w:numPr>
                <w:ilvl w:val="0"/>
                <w:numId w:val="28"/>
              </w:numPr>
              <w:jc w:val="left"/>
              <w:rPr>
                <w:color w:val="auto"/>
              </w:rPr>
            </w:pPr>
            <w:r>
              <w:rPr>
                <w:color w:val="auto"/>
              </w:rPr>
              <w:t>Vaccinated individuals should be advised that if the fever started 48 hours after the vaccination or lasts longer than 48 hours, they should self-isolate and book a test.</w:t>
            </w:r>
          </w:p>
          <w:p w14:paraId="2C09599C" w14:textId="77777777" w:rsidR="00E34CC3" w:rsidRDefault="00E34CC3" w:rsidP="00E34CC3">
            <w:pPr>
              <w:pStyle w:val="TableBody"/>
              <w:numPr>
                <w:ilvl w:val="0"/>
                <w:numId w:val="28"/>
              </w:numPr>
              <w:jc w:val="left"/>
              <w:rPr>
                <w:color w:val="auto"/>
              </w:rPr>
            </w:pPr>
            <w:r>
              <w:rPr>
                <w:color w:val="auto"/>
              </w:rPr>
              <w:t xml:space="preserve">Vaccinated individuals should be advised that feeling generally unwell, shivery, achy and tired were also symptoms commonly reported by vaccine recipients in the clinical trials. Generally, these symptoms were found to resolve within one to two days without treatment but paracetamol can be taken if necessary to relieve any of these symptoms.  </w:t>
            </w:r>
          </w:p>
          <w:p w14:paraId="7DBF791B" w14:textId="77777777" w:rsidR="00E34CC3" w:rsidRDefault="00E34CC3" w:rsidP="00E34CC3">
            <w:pPr>
              <w:pStyle w:val="TableBody"/>
              <w:numPr>
                <w:ilvl w:val="0"/>
                <w:numId w:val="28"/>
              </w:numPr>
              <w:jc w:val="left"/>
              <w:rPr>
                <w:color w:val="auto"/>
              </w:rPr>
            </w:pPr>
            <w:r>
              <w:rPr>
                <w:color w:val="auto"/>
              </w:rPr>
              <w:t>As has always been recommended, any fever after vaccination should be monitored and if individuals are concerned about their health at any time, they should seek advice from their GP or NHS24</w:t>
            </w:r>
          </w:p>
          <w:p w14:paraId="3595ECEE" w14:textId="77777777" w:rsidR="00E34CC3" w:rsidRDefault="00E34CC3" w:rsidP="00E34CC3">
            <w:pPr>
              <w:pStyle w:val="TableBody"/>
              <w:numPr>
                <w:ilvl w:val="0"/>
                <w:numId w:val="28"/>
              </w:numPr>
              <w:jc w:val="left"/>
              <w:rPr>
                <w:color w:val="auto"/>
              </w:rPr>
            </w:pPr>
            <w:r>
              <w:rPr>
                <w:color w:val="auto"/>
              </w:rPr>
              <w:t>The individual should be advised to seek medical advice in the event of a severe adverse reaction.</w:t>
            </w:r>
          </w:p>
          <w:p w14:paraId="53AF447F" w14:textId="77777777" w:rsidR="00E34CC3" w:rsidRDefault="00E34CC3" w:rsidP="00E34CC3">
            <w:pPr>
              <w:pStyle w:val="TableBody"/>
              <w:numPr>
                <w:ilvl w:val="0"/>
                <w:numId w:val="28"/>
              </w:numPr>
              <w:jc w:val="left"/>
              <w:rPr>
                <w:color w:val="auto"/>
              </w:rPr>
            </w:pPr>
            <w:r>
              <w:rPr>
                <w:color w:val="auto"/>
              </w:rPr>
              <w:t>Inform the individual that they can report suspected adverse reactions to the MHRA using the Yellow Card reporting scheme on: http://yellowcard.mhra.gov.uk.</w:t>
            </w:r>
          </w:p>
          <w:p w14:paraId="05E39468" w14:textId="77777777" w:rsidR="00E34CC3" w:rsidRDefault="00E34CC3" w:rsidP="00E34CC3">
            <w:pPr>
              <w:pStyle w:val="TableBody"/>
              <w:numPr>
                <w:ilvl w:val="0"/>
                <w:numId w:val="28"/>
              </w:numPr>
              <w:jc w:val="left"/>
              <w:rPr>
                <w:color w:val="auto"/>
              </w:rPr>
            </w:pPr>
            <w:r>
              <w:rPr>
                <w:color w:val="auto"/>
              </w:rPr>
              <w:t>Immunosuppressed individuals should be advised that they may not make a full immune response to the vaccine and they should continue to take appropriate measures to protect themselves against this infection.</w:t>
            </w:r>
          </w:p>
          <w:p w14:paraId="06C10C36" w14:textId="77777777" w:rsidR="00E34CC3" w:rsidRDefault="00E34CC3" w:rsidP="00E34CC3">
            <w:pPr>
              <w:pStyle w:val="TableBody"/>
              <w:numPr>
                <w:ilvl w:val="0"/>
                <w:numId w:val="28"/>
              </w:numPr>
              <w:jc w:val="left"/>
              <w:rPr>
                <w:color w:val="auto"/>
              </w:rPr>
            </w:pPr>
            <w:r>
              <w:rPr>
                <w:color w:val="auto"/>
              </w:rPr>
              <w:t>When administration is postponed advise the individual how future vaccination may be accessed</w:t>
            </w:r>
          </w:p>
          <w:p w14:paraId="36FE3076" w14:textId="77777777" w:rsidR="00E34CC3" w:rsidRDefault="00E34CC3" w:rsidP="00E34CC3">
            <w:pPr>
              <w:pStyle w:val="TableBody"/>
              <w:numPr>
                <w:ilvl w:val="0"/>
                <w:numId w:val="28"/>
              </w:numPr>
              <w:jc w:val="left"/>
              <w:rPr>
                <w:color w:val="auto"/>
              </w:rPr>
            </w:pPr>
            <w:r>
              <w:rPr>
                <w:color w:val="auto"/>
              </w:rPr>
              <w:t>When applicable, advise the individual/carer when to return for vaccination or when a subsequent vaccine dose is due.</w:t>
            </w:r>
          </w:p>
        </w:tc>
      </w:tr>
      <w:tr w:rsidR="00E34CC3" w14:paraId="6F9A7187" w14:textId="77777777" w:rsidTr="00E90C2E">
        <w:tblPrEx>
          <w:tblCellMar>
            <w:top w:w="28" w:type="dxa"/>
            <w:bottom w:w="57" w:type="dxa"/>
          </w:tblCellMar>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7AB0D" w14:textId="77777777" w:rsidR="00E34CC3" w:rsidRDefault="00E34CC3" w:rsidP="00E90C2E">
            <w:pPr>
              <w:pStyle w:val="TableBody"/>
              <w:rPr>
                <w:b/>
              </w:rPr>
            </w:pPr>
            <w:r>
              <w:rPr>
                <w:b/>
              </w:rPr>
              <w:t>Observation following vaccination</w:t>
            </w:r>
          </w:p>
        </w:tc>
        <w:tc>
          <w:tcPr>
            <w:tcW w:w="7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9E86A" w14:textId="77777777" w:rsidR="00E34CC3" w:rsidRDefault="00E34CC3" w:rsidP="00E34CC3">
            <w:pPr>
              <w:pStyle w:val="TableBody"/>
              <w:jc w:val="left"/>
              <w:rPr>
                <w:color w:val="auto"/>
              </w:rPr>
            </w:pPr>
            <w:r>
              <w:rPr>
                <w:color w:val="auto"/>
              </w:rPr>
              <w:t>Vaccine recipients should be monitored for 15 minutes after vaccination, with a longer observation period when indicated after clinical assessment.</w:t>
            </w:r>
          </w:p>
          <w:p w14:paraId="33160A6B" w14:textId="77777777" w:rsidR="00E34CC3" w:rsidRDefault="00E34CC3" w:rsidP="00E34CC3">
            <w:pPr>
              <w:pStyle w:val="TableBody"/>
              <w:jc w:val="left"/>
              <w:rPr>
                <w:color w:val="auto"/>
              </w:rPr>
            </w:pPr>
            <w:r>
              <w:rPr>
                <w:color w:val="auto"/>
              </w:rPr>
              <w:t>As syncope (fainting) can occur following vaccination, all vaccin</w:t>
            </w:r>
            <w:r w:rsidR="005A1DB5">
              <w:rPr>
                <w:color w:val="auto"/>
              </w:rPr>
              <w:t>e</w:t>
            </w:r>
            <w:r>
              <w:rPr>
                <w:color w:val="auto"/>
              </w:rPr>
              <w:t>es should either be driven by someone else or should not drive for 15 minutes after vaccination.</w:t>
            </w:r>
          </w:p>
        </w:tc>
      </w:tr>
      <w:tr w:rsidR="00E34CC3" w14:paraId="59978EFD" w14:textId="77777777" w:rsidTr="00E90C2E">
        <w:tblPrEx>
          <w:tblCellMar>
            <w:top w:w="28" w:type="dxa"/>
            <w:bottom w:w="57" w:type="dxa"/>
          </w:tblCellMar>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22CE6" w14:textId="77777777" w:rsidR="00E34CC3" w:rsidRDefault="00E34CC3" w:rsidP="00E90C2E">
            <w:pPr>
              <w:pStyle w:val="TableBody"/>
              <w:rPr>
                <w:b/>
              </w:rPr>
            </w:pPr>
            <w:r>
              <w:rPr>
                <w:b/>
              </w:rPr>
              <w:t>Follow up</w:t>
            </w:r>
          </w:p>
        </w:tc>
        <w:tc>
          <w:tcPr>
            <w:tcW w:w="7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139E9" w14:textId="77777777" w:rsidR="00E34CC3" w:rsidRDefault="00E34CC3" w:rsidP="00E34CC3">
            <w:pPr>
              <w:pStyle w:val="TableBody"/>
              <w:jc w:val="left"/>
            </w:pPr>
            <w:r>
              <w:t>Not applicable</w:t>
            </w:r>
          </w:p>
        </w:tc>
      </w:tr>
      <w:tr w:rsidR="00E34CC3" w14:paraId="10CD6538" w14:textId="77777777" w:rsidTr="00E90C2E">
        <w:tblPrEx>
          <w:tblCellMar>
            <w:top w:w="28" w:type="dxa"/>
            <w:bottom w:w="57" w:type="dxa"/>
          </w:tblCellMar>
        </w:tblPrEx>
        <w:tc>
          <w:tcPr>
            <w:tcW w:w="2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5569B" w14:textId="77777777" w:rsidR="00E34CC3" w:rsidRDefault="00E34CC3" w:rsidP="00E90C2E">
            <w:pPr>
              <w:pStyle w:val="TableBody"/>
              <w:rPr>
                <w:b/>
              </w:rPr>
            </w:pPr>
            <w:r>
              <w:rPr>
                <w:b/>
              </w:rPr>
              <w:t>Additional facilities</w:t>
            </w:r>
          </w:p>
        </w:tc>
        <w:tc>
          <w:tcPr>
            <w:tcW w:w="7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831DB" w14:textId="77777777" w:rsidR="00E34CC3" w:rsidRDefault="00E34CC3" w:rsidP="00E34CC3">
            <w:pPr>
              <w:pStyle w:val="TableBody"/>
              <w:jc w:val="left"/>
              <w:rPr>
                <w:color w:val="auto"/>
              </w:rPr>
            </w:pPr>
            <w:r>
              <w:rPr>
                <w:color w:val="auto"/>
              </w:rPr>
              <w:t>A protocol for the management of anaphylaxis and an anaphylaxis pack must always be available whenever COVID-19 mRNA Vaccine BNT162b2 is given. Immediate treatment should include early treatment with 0.5mg intramuscular adrenaline (0.5ml of 1:1000 or 1mg/ml adrenaline), with an early call for help and further IM adrenaline every 5 minutes. The health professionals overseeing the immunisation service must be trained to recognise an anaphylactic reaction and be familiar with techniques for resuscitation of a patient with anaphylaxis.</w:t>
            </w:r>
          </w:p>
        </w:tc>
      </w:tr>
      <w:bookmarkEnd w:id="19"/>
    </w:tbl>
    <w:p w14:paraId="32B0D3D6" w14:textId="77777777" w:rsidR="00D920F1" w:rsidRDefault="00D920F1" w:rsidP="00D920F1">
      <w:pPr>
        <w:spacing w:after="0" w:line="240" w:lineRule="auto"/>
        <w:rPr>
          <w:rFonts w:ascii="Arial" w:eastAsia="Times New Roman" w:hAnsi="Arial" w:cs="Arial"/>
          <w:b/>
          <w:sz w:val="24"/>
          <w:szCs w:val="24"/>
          <w:lang w:eastAsia="en-GB"/>
        </w:rPr>
      </w:pPr>
    </w:p>
    <w:p w14:paraId="44BB7EF3" w14:textId="77777777" w:rsidR="00E34CC3" w:rsidRDefault="00E34CC3" w:rsidP="00D920F1">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 Audit Trail/Records</w:t>
      </w:r>
    </w:p>
    <w:tbl>
      <w:tblPr>
        <w:tblStyle w:val="TableGrid"/>
        <w:tblW w:w="0" w:type="auto"/>
        <w:tblInd w:w="0" w:type="dxa"/>
        <w:tblLook w:val="04A0" w:firstRow="1" w:lastRow="0" w:firstColumn="1" w:lastColumn="0" w:noHBand="0" w:noVBand="1"/>
      </w:tblPr>
      <w:tblGrid>
        <w:gridCol w:w="2282"/>
        <w:gridCol w:w="6734"/>
      </w:tblGrid>
      <w:tr w:rsidR="00E34CC3" w:rsidRPr="00E34CC3" w14:paraId="25106B63" w14:textId="77777777" w:rsidTr="00E34CC3">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680211AF" w14:textId="77777777" w:rsidR="00E34CC3" w:rsidRPr="00E34CC3" w:rsidRDefault="00E34CC3">
            <w:pPr>
              <w:pStyle w:val="TableHead"/>
              <w:rPr>
                <w:color w:val="auto"/>
              </w:rPr>
            </w:pPr>
            <w:r w:rsidRPr="00E34CC3">
              <w:rPr>
                <w:rFonts w:cstheme="minorBidi"/>
                <w:color w:val="auto"/>
              </w:rPr>
              <w:t>Name</w:t>
            </w:r>
          </w:p>
        </w:tc>
        <w:tc>
          <w:tcPr>
            <w:tcW w:w="7647" w:type="dxa"/>
            <w:tcBorders>
              <w:top w:val="single" w:sz="4" w:space="0" w:color="auto"/>
              <w:left w:val="single" w:sz="4" w:space="0" w:color="auto"/>
              <w:bottom w:val="single" w:sz="4" w:space="0" w:color="auto"/>
              <w:right w:val="single" w:sz="4" w:space="0" w:color="auto"/>
            </w:tcBorders>
            <w:hideMark/>
          </w:tcPr>
          <w:p w14:paraId="326D4582" w14:textId="77777777" w:rsidR="00E34CC3" w:rsidRPr="00E34CC3" w:rsidRDefault="00E34CC3" w:rsidP="00E34CC3">
            <w:pPr>
              <w:pStyle w:val="TableHead"/>
              <w:rPr>
                <w:rFonts w:cstheme="minorBidi"/>
                <w:color w:val="auto"/>
              </w:rPr>
            </w:pPr>
            <w:r w:rsidRPr="00E34CC3">
              <w:rPr>
                <w:rFonts w:cstheme="minorBidi"/>
                <w:color w:val="auto"/>
              </w:rPr>
              <w:t>Description</w:t>
            </w:r>
          </w:p>
        </w:tc>
      </w:tr>
      <w:tr w:rsidR="00E34CC3" w14:paraId="2DE54C57" w14:textId="77777777" w:rsidTr="00E34CC3">
        <w:tblPrEx>
          <w:tblCellMar>
            <w:top w:w="28" w:type="dxa"/>
            <w:bottom w:w="57" w:type="dxa"/>
          </w:tblCellMar>
        </w:tblPrEx>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482AB" w14:textId="77777777" w:rsidR="00E34CC3" w:rsidRDefault="00E34CC3">
            <w:pPr>
              <w:pStyle w:val="TableBody"/>
              <w:rPr>
                <w:rFonts w:cstheme="minorBidi"/>
                <w:b/>
              </w:rPr>
            </w:pPr>
            <w:bookmarkStart w:id="22" w:name="_Toc57039441"/>
            <w:r>
              <w:rPr>
                <w:b/>
              </w:rPr>
              <w:t>Record/ audit trail</w:t>
            </w:r>
            <w:bookmarkEnd w:id="22"/>
          </w:p>
          <w:p w14:paraId="1C459B76" w14:textId="77777777" w:rsidR="00E34CC3" w:rsidRDefault="00E34CC3">
            <w:pPr>
              <w:pStyle w:val="TableBody"/>
              <w:rPr>
                <w:b/>
              </w:rPr>
            </w:pPr>
          </w:p>
        </w:tc>
        <w:tc>
          <w:tcPr>
            <w:tcW w:w="7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69C055" w14:textId="77777777" w:rsidR="00E34CC3" w:rsidRDefault="00E34CC3" w:rsidP="00E34CC3">
            <w:pPr>
              <w:pStyle w:val="Tablebullet1"/>
              <w:numPr>
                <w:ilvl w:val="0"/>
                <w:numId w:val="0"/>
              </w:numPr>
              <w:tabs>
                <w:tab w:val="left" w:pos="720"/>
              </w:tabs>
              <w:jc w:val="left"/>
            </w:pPr>
            <w:r>
              <w:t xml:space="preserve">Record: </w:t>
            </w:r>
          </w:p>
          <w:p w14:paraId="35044BC8" w14:textId="77777777" w:rsidR="00E34CC3" w:rsidRDefault="00E34CC3" w:rsidP="00E34CC3">
            <w:pPr>
              <w:pStyle w:val="Tablebullet1"/>
              <w:numPr>
                <w:ilvl w:val="0"/>
                <w:numId w:val="28"/>
              </w:numPr>
              <w:tabs>
                <w:tab w:val="left" w:pos="720"/>
              </w:tabs>
              <w:jc w:val="left"/>
            </w:pPr>
            <w:r>
              <w:t>that valid informed consent was given</w:t>
            </w:r>
          </w:p>
          <w:p w14:paraId="00DBF567" w14:textId="77777777" w:rsidR="00E34CC3" w:rsidRDefault="00E34CC3" w:rsidP="00E34CC3">
            <w:pPr>
              <w:pStyle w:val="Tablebullet1"/>
              <w:numPr>
                <w:ilvl w:val="0"/>
                <w:numId w:val="28"/>
              </w:numPr>
              <w:tabs>
                <w:tab w:val="left" w:pos="720"/>
              </w:tabs>
              <w:jc w:val="left"/>
            </w:pPr>
            <w:r>
              <w:t>name of individual, address, date of birth and GP with whom the individual is registered</w:t>
            </w:r>
          </w:p>
          <w:p w14:paraId="1162174F" w14:textId="77777777" w:rsidR="00E34CC3" w:rsidRDefault="00E34CC3" w:rsidP="00E34CC3">
            <w:pPr>
              <w:pStyle w:val="Tablebullet1"/>
              <w:numPr>
                <w:ilvl w:val="0"/>
                <w:numId w:val="28"/>
              </w:numPr>
              <w:tabs>
                <w:tab w:val="left" w:pos="720"/>
              </w:tabs>
              <w:jc w:val="left"/>
            </w:pPr>
            <w:r>
              <w:t>name of person that undertook assessment of individual’s clinical suitability for vaccine</w:t>
            </w:r>
          </w:p>
          <w:p w14:paraId="7B24EF96" w14:textId="77777777" w:rsidR="00E34CC3" w:rsidRDefault="00E34CC3" w:rsidP="00E34CC3">
            <w:pPr>
              <w:pStyle w:val="Tablebullet1"/>
              <w:numPr>
                <w:ilvl w:val="0"/>
                <w:numId w:val="28"/>
              </w:numPr>
              <w:tabs>
                <w:tab w:val="left" w:pos="720"/>
              </w:tabs>
              <w:jc w:val="left"/>
            </w:pPr>
            <w:r>
              <w:t>name of person that administered the vaccine</w:t>
            </w:r>
          </w:p>
          <w:p w14:paraId="53085A8B" w14:textId="77777777" w:rsidR="00E34CC3" w:rsidRDefault="00E34CC3" w:rsidP="00E34CC3">
            <w:pPr>
              <w:pStyle w:val="Tablebullet1"/>
              <w:numPr>
                <w:ilvl w:val="0"/>
                <w:numId w:val="28"/>
              </w:numPr>
              <w:tabs>
                <w:tab w:val="left" w:pos="720"/>
              </w:tabs>
              <w:jc w:val="left"/>
            </w:pPr>
            <w:r>
              <w:t>name and brand of vaccine</w:t>
            </w:r>
          </w:p>
          <w:p w14:paraId="02867146" w14:textId="77777777" w:rsidR="00E34CC3" w:rsidRDefault="00E34CC3" w:rsidP="00E34CC3">
            <w:pPr>
              <w:pStyle w:val="Tablebullet1"/>
              <w:numPr>
                <w:ilvl w:val="0"/>
                <w:numId w:val="28"/>
              </w:numPr>
              <w:tabs>
                <w:tab w:val="left" w:pos="720"/>
              </w:tabs>
              <w:jc w:val="left"/>
            </w:pPr>
            <w:r>
              <w:t>date of administration</w:t>
            </w:r>
          </w:p>
          <w:p w14:paraId="7AB437AF" w14:textId="77777777" w:rsidR="00E34CC3" w:rsidRDefault="00E34CC3" w:rsidP="00E34CC3">
            <w:pPr>
              <w:pStyle w:val="Tablebullet1"/>
              <w:numPr>
                <w:ilvl w:val="0"/>
                <w:numId w:val="28"/>
              </w:numPr>
              <w:tabs>
                <w:tab w:val="left" w:pos="720"/>
              </w:tabs>
              <w:jc w:val="left"/>
            </w:pPr>
            <w:r>
              <w:t>dose, form and route of administration of vaccine</w:t>
            </w:r>
          </w:p>
          <w:p w14:paraId="6EC929B0" w14:textId="77777777" w:rsidR="00E34CC3" w:rsidRDefault="00E34CC3" w:rsidP="00E34CC3">
            <w:pPr>
              <w:pStyle w:val="Tablebullet1"/>
              <w:numPr>
                <w:ilvl w:val="0"/>
                <w:numId w:val="28"/>
              </w:numPr>
              <w:tabs>
                <w:tab w:val="left" w:pos="720"/>
              </w:tabs>
              <w:jc w:val="left"/>
            </w:pPr>
            <w:r>
              <w:t>batch number</w:t>
            </w:r>
          </w:p>
          <w:p w14:paraId="3651321C" w14:textId="77777777" w:rsidR="00E34CC3" w:rsidRDefault="00E34CC3" w:rsidP="00E34CC3">
            <w:pPr>
              <w:pStyle w:val="Tablebullet1"/>
              <w:numPr>
                <w:ilvl w:val="0"/>
                <w:numId w:val="28"/>
              </w:numPr>
              <w:tabs>
                <w:tab w:val="left" w:pos="720"/>
              </w:tabs>
              <w:jc w:val="left"/>
            </w:pPr>
            <w:r>
              <w:t>where possible expiry date</w:t>
            </w:r>
          </w:p>
          <w:p w14:paraId="63FC28AC" w14:textId="77777777" w:rsidR="00E34CC3" w:rsidRDefault="00E34CC3" w:rsidP="00E34CC3">
            <w:pPr>
              <w:pStyle w:val="Tablebullet1"/>
              <w:numPr>
                <w:ilvl w:val="0"/>
                <w:numId w:val="28"/>
              </w:numPr>
              <w:tabs>
                <w:tab w:val="left" w:pos="720"/>
              </w:tabs>
              <w:jc w:val="left"/>
            </w:pPr>
            <w:r>
              <w:t>anatomical site of vaccination</w:t>
            </w:r>
          </w:p>
          <w:p w14:paraId="5BB139C8" w14:textId="77777777" w:rsidR="00E34CC3" w:rsidRDefault="00E34CC3" w:rsidP="00E34CC3">
            <w:pPr>
              <w:pStyle w:val="Tablebullet1"/>
              <w:numPr>
                <w:ilvl w:val="0"/>
                <w:numId w:val="28"/>
              </w:numPr>
              <w:tabs>
                <w:tab w:val="left" w:pos="720"/>
              </w:tabs>
              <w:jc w:val="left"/>
            </w:pPr>
            <w:r>
              <w:t>advice given, including advice given if excluded or declines immunisation</w:t>
            </w:r>
          </w:p>
          <w:p w14:paraId="39028BB1" w14:textId="77777777" w:rsidR="00E34CC3" w:rsidRDefault="00E34CC3" w:rsidP="00E34CC3">
            <w:pPr>
              <w:pStyle w:val="Tablebullet1"/>
              <w:numPr>
                <w:ilvl w:val="0"/>
                <w:numId w:val="28"/>
              </w:numPr>
              <w:tabs>
                <w:tab w:val="left" w:pos="720"/>
              </w:tabs>
              <w:jc w:val="left"/>
            </w:pPr>
            <w:r>
              <w:t>details of any adverse drug reactions and actions taken</w:t>
            </w:r>
          </w:p>
          <w:p w14:paraId="31B5DD91" w14:textId="77777777" w:rsidR="00E34CC3" w:rsidRDefault="00E34CC3" w:rsidP="00E34CC3">
            <w:pPr>
              <w:pStyle w:val="Tablebullet1"/>
              <w:numPr>
                <w:ilvl w:val="0"/>
                <w:numId w:val="28"/>
              </w:numPr>
              <w:tabs>
                <w:tab w:val="left" w:pos="720"/>
              </w:tabs>
              <w:jc w:val="left"/>
            </w:pPr>
            <w:r>
              <w:t xml:space="preserve">administered under </w:t>
            </w:r>
            <w:r w:rsidR="005A1DB5">
              <w:t>protocol</w:t>
            </w:r>
          </w:p>
          <w:p w14:paraId="2901DC78" w14:textId="77777777" w:rsidR="00E34CC3" w:rsidRDefault="00E34CC3" w:rsidP="00E34CC3">
            <w:pPr>
              <w:pStyle w:val="Tablebullet1"/>
              <w:numPr>
                <w:ilvl w:val="0"/>
                <w:numId w:val="0"/>
              </w:numPr>
              <w:tabs>
                <w:tab w:val="left" w:pos="720"/>
              </w:tabs>
              <w:jc w:val="left"/>
            </w:pPr>
            <w:r>
              <w:t>Records should kept line with local procedures. Ideally records should be kept within the NHS Scotland COVID-19 vaccine administration app.</w:t>
            </w:r>
          </w:p>
          <w:p w14:paraId="4773A46F" w14:textId="77777777" w:rsidR="00E34CC3" w:rsidRDefault="00E34CC3" w:rsidP="00E34CC3">
            <w:pPr>
              <w:pStyle w:val="Tablebullet1"/>
              <w:numPr>
                <w:ilvl w:val="0"/>
                <w:numId w:val="0"/>
              </w:numPr>
              <w:tabs>
                <w:tab w:val="left" w:pos="720"/>
              </w:tabs>
              <w:jc w:val="left"/>
            </w:pPr>
            <w:r>
              <w:t>Local policy should be followed to encourage information sharing with the individual’s General Practice.</w:t>
            </w:r>
          </w:p>
          <w:p w14:paraId="3A78230C" w14:textId="77777777" w:rsidR="00E34CC3" w:rsidRDefault="00E34CC3" w:rsidP="00E34CC3">
            <w:pPr>
              <w:pStyle w:val="Tablebullet1"/>
              <w:numPr>
                <w:ilvl w:val="0"/>
                <w:numId w:val="0"/>
              </w:numPr>
              <w:tabs>
                <w:tab w:val="left" w:pos="720"/>
              </w:tabs>
              <w:jc w:val="left"/>
            </w:pPr>
            <w:r>
              <w:t>All records should be clear, legible and contemporaneous.</w:t>
            </w:r>
          </w:p>
        </w:tc>
      </w:tr>
    </w:tbl>
    <w:p w14:paraId="50AE7C4C" w14:textId="77777777" w:rsidR="00E34CC3" w:rsidRPr="00E34CC3" w:rsidRDefault="00E34CC3" w:rsidP="00D920F1">
      <w:pPr>
        <w:spacing w:after="0" w:line="240" w:lineRule="auto"/>
        <w:rPr>
          <w:rFonts w:ascii="Arial" w:eastAsia="Times New Roman" w:hAnsi="Arial" w:cs="Arial"/>
          <w:sz w:val="24"/>
          <w:szCs w:val="24"/>
          <w:lang w:eastAsia="en-GB"/>
        </w:rPr>
      </w:pPr>
    </w:p>
    <w:p w14:paraId="50E34F84" w14:textId="77777777" w:rsidR="00E34CC3" w:rsidRDefault="00E34CC3" w:rsidP="00D920F1">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 References</w:t>
      </w:r>
    </w:p>
    <w:p w14:paraId="3B6E67F9" w14:textId="77777777" w:rsidR="00E34CC3" w:rsidRDefault="00E34CC3" w:rsidP="00D920F1">
      <w:pPr>
        <w:spacing w:after="0" w:line="240" w:lineRule="auto"/>
        <w:rPr>
          <w:rFonts w:ascii="Arial" w:eastAsia="Times New Roman" w:hAnsi="Arial" w:cs="Arial"/>
          <w:b/>
          <w:sz w:val="24"/>
          <w:szCs w:val="24"/>
          <w:lang w:eastAsia="en-GB"/>
        </w:rPr>
      </w:pPr>
    </w:p>
    <w:tbl>
      <w:tblPr>
        <w:tblStyle w:val="TableGrid"/>
        <w:tblW w:w="0" w:type="auto"/>
        <w:tblInd w:w="0" w:type="dxa"/>
        <w:tblLook w:val="04A0" w:firstRow="1" w:lastRow="0" w:firstColumn="1" w:lastColumn="0" w:noHBand="0" w:noVBand="1"/>
      </w:tblPr>
      <w:tblGrid>
        <w:gridCol w:w="2142"/>
        <w:gridCol w:w="6874"/>
      </w:tblGrid>
      <w:tr w:rsidR="00E34CC3" w:rsidRPr="00E34CC3" w14:paraId="6534AF79" w14:textId="77777777" w:rsidTr="00E34CC3">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1597A050" w14:textId="77777777" w:rsidR="00E34CC3" w:rsidRPr="00E34CC3" w:rsidRDefault="00E34CC3">
            <w:pPr>
              <w:pStyle w:val="TableHead"/>
              <w:rPr>
                <w:color w:val="auto"/>
              </w:rPr>
            </w:pPr>
            <w:r w:rsidRPr="00E34CC3">
              <w:rPr>
                <w:rFonts w:cstheme="minorBidi"/>
                <w:color w:val="auto"/>
              </w:rPr>
              <w:t>Name</w:t>
            </w:r>
          </w:p>
        </w:tc>
        <w:tc>
          <w:tcPr>
            <w:tcW w:w="7647" w:type="dxa"/>
            <w:tcBorders>
              <w:top w:val="single" w:sz="4" w:space="0" w:color="auto"/>
              <w:left w:val="single" w:sz="4" w:space="0" w:color="auto"/>
              <w:bottom w:val="single" w:sz="4" w:space="0" w:color="auto"/>
              <w:right w:val="single" w:sz="4" w:space="0" w:color="auto"/>
            </w:tcBorders>
            <w:hideMark/>
          </w:tcPr>
          <w:p w14:paraId="74EDE344" w14:textId="77777777" w:rsidR="00E34CC3" w:rsidRPr="00E34CC3" w:rsidRDefault="00E34CC3" w:rsidP="00E34CC3">
            <w:pPr>
              <w:pStyle w:val="TableHead"/>
              <w:rPr>
                <w:rFonts w:cstheme="minorBidi"/>
                <w:color w:val="auto"/>
              </w:rPr>
            </w:pPr>
            <w:r w:rsidRPr="00E34CC3">
              <w:rPr>
                <w:rFonts w:cstheme="minorBidi"/>
                <w:color w:val="auto"/>
              </w:rPr>
              <w:t>Description</w:t>
            </w:r>
          </w:p>
        </w:tc>
      </w:tr>
      <w:tr w:rsidR="00E34CC3" w14:paraId="55D83724" w14:textId="77777777" w:rsidTr="00E34CC3">
        <w:tblPrEx>
          <w:tblCellMar>
            <w:top w:w="28" w:type="dxa"/>
            <w:bottom w:w="57" w:type="dxa"/>
          </w:tblCellMar>
        </w:tblPrEx>
        <w:tc>
          <w:tcPr>
            <w:tcW w:w="2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3C93E4" w14:textId="77777777" w:rsidR="00E34CC3" w:rsidRDefault="00E34CC3">
            <w:pPr>
              <w:pStyle w:val="TableBody"/>
              <w:rPr>
                <w:rFonts w:cstheme="minorBidi"/>
                <w:b/>
              </w:rPr>
            </w:pPr>
            <w:r>
              <w:rPr>
                <w:b/>
              </w:rPr>
              <w:t>Additional references</w:t>
            </w:r>
          </w:p>
        </w:tc>
        <w:tc>
          <w:tcPr>
            <w:tcW w:w="7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270FC" w14:textId="77777777" w:rsidR="00E34CC3" w:rsidRDefault="00E34CC3" w:rsidP="00E34CC3">
            <w:pPr>
              <w:pStyle w:val="TableBody"/>
              <w:spacing w:before="20" w:after="20"/>
              <w:jc w:val="left"/>
            </w:pPr>
            <w:r>
              <w:rPr>
                <w:color w:val="auto"/>
              </w:rPr>
              <w:t xml:space="preserve">Immunisation against Infectious Disease [Green Book] </w:t>
            </w:r>
            <w:hyperlink r:id="rId25" w:history="1">
              <w:r>
                <w:rPr>
                  <w:rStyle w:val="Hyperlink"/>
                </w:rPr>
                <w:t>https://www.gov.uk/government/organisations/public-health-england/series/immunisation-against-infectious-disease-the-green-book</w:t>
              </w:r>
            </w:hyperlink>
          </w:p>
          <w:p w14:paraId="04B5679D" w14:textId="77777777" w:rsidR="00E34CC3" w:rsidRDefault="00E34CC3" w:rsidP="00E34CC3">
            <w:pPr>
              <w:pStyle w:val="TableBody"/>
              <w:spacing w:before="20" w:after="20"/>
              <w:jc w:val="left"/>
            </w:pPr>
          </w:p>
          <w:p w14:paraId="3E54B373" w14:textId="77777777" w:rsidR="00E34CC3" w:rsidRDefault="00E34CC3" w:rsidP="00E34CC3">
            <w:pPr>
              <w:pStyle w:val="TableBody"/>
              <w:spacing w:before="20" w:after="20"/>
              <w:jc w:val="left"/>
              <w:rPr>
                <w:u w:val="single"/>
              </w:rPr>
            </w:pPr>
            <w:r>
              <w:rPr>
                <w:color w:val="auto"/>
              </w:rPr>
              <w:t xml:space="preserve">Immunisation against Infectious Disease [Green Book] COVID-19 </w:t>
            </w:r>
            <w:hyperlink r:id="rId26" w:history="1">
              <w:r>
                <w:rPr>
                  <w:rStyle w:val="Hyperlink"/>
                </w:rPr>
                <w:t>https://www.gov.uk/government/publications/covid-19-the-green-book-chapter-14a</w:t>
              </w:r>
            </w:hyperlink>
          </w:p>
          <w:p w14:paraId="52750C35" w14:textId="77777777" w:rsidR="00E34CC3" w:rsidRDefault="00E34CC3" w:rsidP="00E34CC3">
            <w:pPr>
              <w:pStyle w:val="TableBody"/>
              <w:spacing w:before="20" w:after="20"/>
              <w:jc w:val="left"/>
              <w:rPr>
                <w:u w:val="single"/>
              </w:rPr>
            </w:pPr>
          </w:p>
          <w:p w14:paraId="6F622764" w14:textId="77777777" w:rsidR="00E34CC3" w:rsidRDefault="00E34CC3" w:rsidP="00E34CC3">
            <w:pPr>
              <w:pStyle w:val="TableBody"/>
              <w:spacing w:before="20" w:after="20"/>
              <w:jc w:val="left"/>
              <w:rPr>
                <w:color w:val="auto"/>
              </w:rPr>
            </w:pPr>
            <w:r>
              <w:rPr>
                <w:color w:val="auto"/>
              </w:rPr>
              <w:t>JCVI: advice on priority groups for COVID-19 vaccine 30th December 2020</w:t>
            </w:r>
          </w:p>
          <w:p w14:paraId="238E14E0" w14:textId="77777777" w:rsidR="00E34CC3" w:rsidRDefault="00602F78" w:rsidP="00E34CC3">
            <w:pPr>
              <w:pStyle w:val="TableBody"/>
              <w:spacing w:before="20" w:after="20"/>
              <w:jc w:val="left"/>
            </w:pPr>
            <w:hyperlink r:id="rId27" w:history="1">
              <w:r w:rsidR="00E34CC3">
                <w:rPr>
                  <w:rStyle w:val="Hyperlink"/>
                </w:rPr>
                <w:t>https://www.gov.uk/government/publications/priority-groups-for-coronavirus-covid-19-vaccination-advice-from-the-jcvi-30-december-2020</w:t>
              </w:r>
            </w:hyperlink>
          </w:p>
          <w:p w14:paraId="1CC39E6F" w14:textId="77777777" w:rsidR="00E34CC3" w:rsidRDefault="00E34CC3" w:rsidP="00E34CC3">
            <w:pPr>
              <w:pStyle w:val="TableBody"/>
              <w:spacing w:before="20" w:after="20"/>
              <w:jc w:val="left"/>
            </w:pPr>
          </w:p>
          <w:p w14:paraId="17A1BFA0" w14:textId="77777777" w:rsidR="00E34CC3" w:rsidRDefault="00E34CC3" w:rsidP="00E34CC3">
            <w:pPr>
              <w:pStyle w:val="TableBody"/>
              <w:spacing w:before="20" w:after="20"/>
              <w:jc w:val="left"/>
              <w:rPr>
                <w:color w:val="auto"/>
              </w:rPr>
            </w:pPr>
            <w:r>
              <w:rPr>
                <w:color w:val="auto"/>
              </w:rPr>
              <w:t xml:space="preserve">Manufacturer’s product information/ Summary of Product Characteristics </w:t>
            </w:r>
            <w:hyperlink r:id="rId28" w:history="1">
              <w:r>
                <w:rPr>
                  <w:rStyle w:val="Hyperlink"/>
                </w:rPr>
                <w:t>https://www.gov.uk/government/publications/regulatory-approval-of-pfizer-biontech-vaccine-for-covid-19</w:t>
              </w:r>
            </w:hyperlink>
          </w:p>
          <w:p w14:paraId="3341128D" w14:textId="77777777" w:rsidR="00E34CC3" w:rsidRDefault="00E34CC3" w:rsidP="00E34CC3">
            <w:pPr>
              <w:pStyle w:val="TableBody"/>
              <w:spacing w:before="20" w:after="20"/>
              <w:jc w:val="left"/>
              <w:rPr>
                <w:color w:val="auto"/>
              </w:rPr>
            </w:pPr>
          </w:p>
          <w:p w14:paraId="62717241" w14:textId="77777777" w:rsidR="00E34CC3" w:rsidRDefault="00E34CC3" w:rsidP="00E34CC3">
            <w:pPr>
              <w:pStyle w:val="TableBody"/>
              <w:spacing w:before="20" w:after="20"/>
              <w:jc w:val="left"/>
              <w:rPr>
                <w:color w:val="auto"/>
              </w:rPr>
            </w:pPr>
            <w:r>
              <w:rPr>
                <w:color w:val="auto"/>
              </w:rPr>
              <w:t xml:space="preserve">Educational resources for registered professionals produced by National Education for Scotland </w:t>
            </w:r>
          </w:p>
          <w:p w14:paraId="353908F2" w14:textId="77777777" w:rsidR="00E34CC3" w:rsidRDefault="00602F78" w:rsidP="00E34CC3">
            <w:pPr>
              <w:pStyle w:val="TableBody"/>
              <w:spacing w:before="20" w:after="20"/>
              <w:jc w:val="left"/>
            </w:pPr>
            <w:hyperlink r:id="rId29" w:history="1">
              <w:r w:rsidR="00E34CC3">
                <w:rPr>
                  <w:rStyle w:val="Hyperlink"/>
                </w:rPr>
                <w:t>https://learn.nes.nhs.scot/37676/immunisation/covid-19-vaccines</w:t>
              </w:r>
            </w:hyperlink>
          </w:p>
          <w:p w14:paraId="681903E1" w14:textId="77777777" w:rsidR="00E34CC3" w:rsidRDefault="00E34CC3" w:rsidP="00E34CC3">
            <w:pPr>
              <w:pStyle w:val="TableBody"/>
              <w:spacing w:before="20" w:after="20"/>
              <w:jc w:val="left"/>
            </w:pPr>
          </w:p>
          <w:p w14:paraId="22B6B205" w14:textId="77777777" w:rsidR="00E34CC3" w:rsidRDefault="00E34CC3" w:rsidP="00E34CC3">
            <w:pPr>
              <w:pStyle w:val="TableBody"/>
              <w:spacing w:before="20" w:after="20"/>
              <w:jc w:val="left"/>
            </w:pPr>
            <w:r>
              <w:rPr>
                <w:color w:val="auto"/>
              </w:rPr>
              <w:t>All relevant Scottish Government advice including the relevant CMO letter(s)</w:t>
            </w:r>
          </w:p>
        </w:tc>
      </w:tr>
    </w:tbl>
    <w:p w14:paraId="62C84B4C" w14:textId="77777777" w:rsidR="00E34CC3" w:rsidRDefault="00E34CC3" w:rsidP="00D920F1">
      <w:pPr>
        <w:spacing w:after="0" w:line="240" w:lineRule="auto"/>
        <w:rPr>
          <w:rFonts w:ascii="Arial" w:eastAsia="Times New Roman" w:hAnsi="Arial" w:cs="Arial"/>
          <w:b/>
          <w:sz w:val="24"/>
          <w:szCs w:val="24"/>
          <w:lang w:eastAsia="en-GB"/>
        </w:rPr>
      </w:pPr>
    </w:p>
    <w:p w14:paraId="38FDA00A" w14:textId="77777777" w:rsidR="00E34CC3" w:rsidRDefault="00E34CC3" w:rsidP="00D920F1">
      <w:pPr>
        <w:spacing w:after="0" w:line="240" w:lineRule="auto"/>
        <w:rPr>
          <w:rFonts w:ascii="Arial" w:eastAsia="Times New Roman" w:hAnsi="Arial" w:cs="Arial"/>
          <w:b/>
          <w:sz w:val="24"/>
          <w:szCs w:val="24"/>
          <w:lang w:eastAsia="en-GB"/>
        </w:rPr>
      </w:pPr>
    </w:p>
    <w:p w14:paraId="74F17C04" w14:textId="77777777" w:rsidR="00E34CC3" w:rsidRDefault="00E34CC3" w:rsidP="00D920F1">
      <w:pPr>
        <w:spacing w:after="0" w:line="240" w:lineRule="auto"/>
        <w:rPr>
          <w:rFonts w:ascii="Arial" w:eastAsia="Times New Roman" w:hAnsi="Arial" w:cs="Arial"/>
          <w:b/>
          <w:sz w:val="24"/>
          <w:szCs w:val="24"/>
          <w:lang w:eastAsia="en-GB"/>
        </w:rPr>
        <w:sectPr w:rsidR="00E34CC3">
          <w:pgSz w:w="11906" w:h="16838"/>
          <w:pgMar w:top="1440" w:right="1440" w:bottom="1440" w:left="1440" w:header="708" w:footer="708" w:gutter="0"/>
          <w:cols w:space="720"/>
        </w:sectPr>
      </w:pPr>
    </w:p>
    <w:p w14:paraId="6F2FA43B" w14:textId="77777777" w:rsidR="00D920F1" w:rsidRDefault="00D920F1" w:rsidP="00D920F1">
      <w:pPr>
        <w:overflowPunct w:val="0"/>
        <w:autoSpaceDE w:val="0"/>
        <w:autoSpaceDN w:val="0"/>
        <w:adjustRightInd w:val="0"/>
        <w:spacing w:after="0" w:line="240" w:lineRule="auto"/>
        <w:contextualSpacing/>
        <w:jc w:val="right"/>
        <w:rPr>
          <w:rFonts w:ascii="Arial" w:eastAsia="Times New Roman" w:hAnsi="Arial" w:cs="Arial"/>
          <w:b/>
          <w:sz w:val="24"/>
          <w:szCs w:val="24"/>
          <w:lang w:eastAsia="en-GB"/>
        </w:rPr>
      </w:pPr>
      <w:bookmarkStart w:id="23" w:name="PractitionerAuthorisationSheet"/>
      <w:bookmarkEnd w:id="23"/>
      <w:r>
        <w:rPr>
          <w:rFonts w:ascii="Arial" w:eastAsia="Times New Roman" w:hAnsi="Arial" w:cs="Arial"/>
          <w:b/>
          <w:sz w:val="24"/>
          <w:szCs w:val="24"/>
          <w:lang w:eastAsia="en-GB"/>
        </w:rPr>
        <w:t>ANNEX B: Practitioner authorisation sheet</w:t>
      </w:r>
    </w:p>
    <w:p w14:paraId="11BC522A" w14:textId="77777777" w:rsidR="00D920F1" w:rsidRDefault="00D920F1" w:rsidP="00D920F1">
      <w:pPr>
        <w:autoSpaceDN w:val="0"/>
        <w:spacing w:after="0" w:line="240" w:lineRule="auto"/>
        <w:rPr>
          <w:rFonts w:ascii="Arial" w:eastAsia="Times New Roman" w:hAnsi="Arial" w:cs="Arial"/>
          <w:b/>
          <w:sz w:val="24"/>
          <w:szCs w:val="24"/>
          <w:lang w:eastAsia="en-GB"/>
        </w:rPr>
      </w:pPr>
    </w:p>
    <w:p w14:paraId="00A8C9F0" w14:textId="77777777" w:rsidR="00D920F1" w:rsidRDefault="00D23D5D" w:rsidP="00D920F1">
      <w:pPr>
        <w:overflowPunct w:val="0"/>
        <w:autoSpaceDE w:val="0"/>
        <w:autoSpaceDN w:val="0"/>
        <w:adjustRightInd w:val="0"/>
        <w:spacing w:after="0" w:line="240" w:lineRule="auto"/>
        <w:ind w:rightChars="-375" w:right="-825"/>
        <w:rPr>
          <w:rFonts w:ascii="Arial" w:eastAsia="Times New Roman" w:hAnsi="Arial" w:cs="Arial"/>
          <w:b/>
          <w:sz w:val="24"/>
          <w:szCs w:val="24"/>
          <w:lang w:eastAsia="en-GB"/>
        </w:rPr>
      </w:pPr>
      <w:r w:rsidRPr="00AD37A3">
        <w:rPr>
          <w:rFonts w:ascii="Arial" w:hAnsi="Arial" w:cs="Arial"/>
          <w:b/>
          <w:sz w:val="24"/>
          <w:szCs w:val="24"/>
        </w:rPr>
        <w:t>COVID-19 mRNA Vaccine BNT162b2 Pfizer/BioNTech</w:t>
      </w:r>
      <w:r w:rsidRPr="00AD37A3">
        <w:rPr>
          <w:b/>
        </w:rPr>
        <w:t xml:space="preserve"> </w:t>
      </w:r>
      <w:r w:rsidRPr="00AD37A3">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Vaccine </w:t>
      </w:r>
      <w:r w:rsidR="00D920F1">
        <w:rPr>
          <w:rFonts w:ascii="Arial" w:eastAsia="Times New Roman" w:hAnsi="Arial" w:cs="Arial"/>
          <w:b/>
          <w:sz w:val="24"/>
          <w:szCs w:val="24"/>
          <w:lang w:eastAsia="en-GB"/>
        </w:rPr>
        <w:t>Protocol v00.01 Valid from: DDDDDD Expiry: DDDDDD</w:t>
      </w:r>
    </w:p>
    <w:p w14:paraId="6657A3E6" w14:textId="77777777" w:rsidR="00D920F1" w:rsidRDefault="00D920F1" w:rsidP="00D920F1">
      <w:pPr>
        <w:autoSpaceDN w:val="0"/>
        <w:spacing w:after="0" w:line="240" w:lineRule="auto"/>
        <w:rPr>
          <w:rFonts w:ascii="Arial" w:eastAsia="Times New Roman" w:hAnsi="Arial" w:cs="Arial"/>
          <w:b/>
          <w:sz w:val="24"/>
          <w:szCs w:val="24"/>
          <w:lang w:eastAsia="en-GB"/>
        </w:rPr>
      </w:pPr>
    </w:p>
    <w:p w14:paraId="4B3792BC" w14:textId="77777777" w:rsidR="00D920F1" w:rsidRDefault="00D920F1" w:rsidP="00D920F1">
      <w:pPr>
        <w:autoSpaceDN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Before signing this Protocol, check that the document has had the necessary authorisations in section 1 and 2. Without these, this Protocol is not lawfully valid.</w:t>
      </w:r>
    </w:p>
    <w:p w14:paraId="2E0515FB" w14:textId="77777777" w:rsidR="00D920F1" w:rsidRDefault="00D920F1" w:rsidP="00D920F1">
      <w:pPr>
        <w:autoSpaceDN w:val="0"/>
        <w:spacing w:after="0" w:line="240" w:lineRule="auto"/>
        <w:rPr>
          <w:rFonts w:ascii="Arial" w:eastAsia="Times New Roman" w:hAnsi="Arial" w:cs="Arial"/>
          <w:b/>
          <w:sz w:val="24"/>
          <w:szCs w:val="24"/>
          <w:lang w:eastAsia="en-GB"/>
        </w:rPr>
      </w:pPr>
    </w:p>
    <w:p w14:paraId="1429164D" w14:textId="77777777" w:rsidR="00D920F1" w:rsidRDefault="00D920F1" w:rsidP="00D920F1">
      <w:pPr>
        <w:autoSpaceDN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Practitioner</w:t>
      </w:r>
    </w:p>
    <w:p w14:paraId="074952D4" w14:textId="77777777" w:rsidR="00D920F1" w:rsidRDefault="00D920F1" w:rsidP="00D920F1">
      <w:pPr>
        <w:autoSpaceDN w:val="0"/>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By signing this Protocol you are indicating that you agree to its contents and that you will work within it.</w:t>
      </w:r>
    </w:p>
    <w:p w14:paraId="22FB541A" w14:textId="77777777" w:rsidR="00D920F1" w:rsidRDefault="00D920F1" w:rsidP="00D920F1">
      <w:pPr>
        <w:overflowPunct w:val="0"/>
        <w:autoSpaceDE w:val="0"/>
        <w:autoSpaceDN w:val="0"/>
        <w:adjustRightInd w:val="0"/>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Protocols do not remove inherent professional obligations or accountability.</w:t>
      </w:r>
    </w:p>
    <w:p w14:paraId="1ED62F0E" w14:textId="77777777" w:rsidR="00D920F1" w:rsidRDefault="00D920F1" w:rsidP="00D920F1">
      <w:pPr>
        <w:overflowPunct w:val="0"/>
        <w:autoSpaceDE w:val="0"/>
        <w:autoSpaceDN w:val="0"/>
        <w:adjustRightInd w:val="0"/>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It is the responsibility of each practitioner to practise only within the bounds of their own competence and any appropriate professional code of conduct.</w:t>
      </w:r>
    </w:p>
    <w:tbl>
      <w:tblPr>
        <w:tblW w:w="0" w:type="auto"/>
        <w:tblLook w:val="04A0" w:firstRow="1" w:lastRow="0" w:firstColumn="1" w:lastColumn="0" w:noHBand="0" w:noVBand="1"/>
      </w:tblPr>
      <w:tblGrid>
        <w:gridCol w:w="2295"/>
        <w:gridCol w:w="2899"/>
        <w:gridCol w:w="2498"/>
        <w:gridCol w:w="1324"/>
      </w:tblGrid>
      <w:tr w:rsidR="00D920F1" w14:paraId="0DEF97B7" w14:textId="77777777" w:rsidTr="005A1DB5">
        <w:tc>
          <w:tcPr>
            <w:tcW w:w="9016" w:type="dxa"/>
            <w:gridSpan w:val="4"/>
            <w:tcBorders>
              <w:top w:val="single" w:sz="4" w:space="0" w:color="auto"/>
              <w:left w:val="single" w:sz="4" w:space="0" w:color="auto"/>
              <w:bottom w:val="single" w:sz="4" w:space="0" w:color="auto"/>
              <w:right w:val="single" w:sz="4" w:space="0" w:color="auto"/>
            </w:tcBorders>
            <w:hideMark/>
          </w:tcPr>
          <w:p w14:paraId="19D7FC1D" w14:textId="77777777" w:rsidR="00D920F1" w:rsidRDefault="00D920F1">
            <w:pPr>
              <w:spacing w:before="120" w:after="120" w:line="254" w:lineRule="auto"/>
              <w:rPr>
                <w:rFonts w:ascii="Arial" w:eastAsia="Times New Roman" w:hAnsi="Arial" w:cs="Arial"/>
                <w:sz w:val="24"/>
                <w:szCs w:val="24"/>
              </w:rPr>
            </w:pPr>
            <w:r>
              <w:rPr>
                <w:rFonts w:ascii="Arial" w:eastAsia="Times New Roman" w:hAnsi="Arial" w:cs="Arial"/>
                <w:sz w:val="24"/>
                <w:szCs w:val="24"/>
              </w:rPr>
              <w:t>I confirm that I have read and understood the content of this Protocol and that I am willing and competent to work to it within my professional code of conduct.</w:t>
            </w:r>
          </w:p>
        </w:tc>
      </w:tr>
      <w:tr w:rsidR="00D920F1" w14:paraId="2B3ED828" w14:textId="77777777" w:rsidTr="005A1DB5">
        <w:tc>
          <w:tcPr>
            <w:tcW w:w="2295" w:type="dxa"/>
            <w:tcBorders>
              <w:top w:val="single" w:sz="4" w:space="0" w:color="auto"/>
              <w:left w:val="single" w:sz="4" w:space="0" w:color="auto"/>
              <w:bottom w:val="single" w:sz="4" w:space="0" w:color="auto"/>
              <w:right w:val="single" w:sz="4" w:space="0" w:color="auto"/>
            </w:tcBorders>
            <w:hideMark/>
          </w:tcPr>
          <w:p w14:paraId="3B9BFD48"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Name</w:t>
            </w:r>
          </w:p>
        </w:tc>
        <w:tc>
          <w:tcPr>
            <w:tcW w:w="2899" w:type="dxa"/>
            <w:tcBorders>
              <w:top w:val="single" w:sz="4" w:space="0" w:color="auto"/>
              <w:left w:val="single" w:sz="4" w:space="0" w:color="auto"/>
              <w:bottom w:val="single" w:sz="4" w:space="0" w:color="auto"/>
              <w:right w:val="single" w:sz="4" w:space="0" w:color="auto"/>
            </w:tcBorders>
            <w:hideMark/>
          </w:tcPr>
          <w:p w14:paraId="6A5076AA"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Designation</w:t>
            </w:r>
          </w:p>
        </w:tc>
        <w:tc>
          <w:tcPr>
            <w:tcW w:w="2498" w:type="dxa"/>
            <w:tcBorders>
              <w:top w:val="single" w:sz="4" w:space="0" w:color="auto"/>
              <w:left w:val="single" w:sz="4" w:space="0" w:color="auto"/>
              <w:bottom w:val="single" w:sz="4" w:space="0" w:color="auto"/>
              <w:right w:val="single" w:sz="4" w:space="0" w:color="auto"/>
            </w:tcBorders>
            <w:hideMark/>
          </w:tcPr>
          <w:p w14:paraId="2BE54AD9"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Signature</w:t>
            </w:r>
          </w:p>
        </w:tc>
        <w:tc>
          <w:tcPr>
            <w:tcW w:w="1324" w:type="dxa"/>
            <w:tcBorders>
              <w:top w:val="single" w:sz="4" w:space="0" w:color="auto"/>
              <w:left w:val="single" w:sz="4" w:space="0" w:color="auto"/>
              <w:bottom w:val="single" w:sz="4" w:space="0" w:color="auto"/>
              <w:right w:val="single" w:sz="4" w:space="0" w:color="auto"/>
            </w:tcBorders>
            <w:hideMark/>
          </w:tcPr>
          <w:p w14:paraId="167540AD"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Date</w:t>
            </w:r>
          </w:p>
        </w:tc>
      </w:tr>
      <w:tr w:rsidR="00D920F1" w14:paraId="4B2E190B" w14:textId="77777777" w:rsidTr="005A1DB5">
        <w:tc>
          <w:tcPr>
            <w:tcW w:w="2295" w:type="dxa"/>
            <w:tcBorders>
              <w:top w:val="single" w:sz="4" w:space="0" w:color="auto"/>
              <w:left w:val="single" w:sz="4" w:space="0" w:color="auto"/>
              <w:bottom w:val="single" w:sz="4" w:space="0" w:color="auto"/>
              <w:right w:val="single" w:sz="4" w:space="0" w:color="auto"/>
            </w:tcBorders>
          </w:tcPr>
          <w:p w14:paraId="24F74FEC"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899" w:type="dxa"/>
            <w:tcBorders>
              <w:top w:val="single" w:sz="4" w:space="0" w:color="auto"/>
              <w:left w:val="single" w:sz="4" w:space="0" w:color="auto"/>
              <w:bottom w:val="single" w:sz="4" w:space="0" w:color="auto"/>
              <w:right w:val="single" w:sz="4" w:space="0" w:color="auto"/>
            </w:tcBorders>
          </w:tcPr>
          <w:p w14:paraId="3EC1DEF6"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498" w:type="dxa"/>
            <w:tcBorders>
              <w:top w:val="single" w:sz="4" w:space="0" w:color="auto"/>
              <w:left w:val="single" w:sz="4" w:space="0" w:color="auto"/>
              <w:bottom w:val="single" w:sz="4" w:space="0" w:color="auto"/>
              <w:right w:val="single" w:sz="4" w:space="0" w:color="auto"/>
            </w:tcBorders>
          </w:tcPr>
          <w:p w14:paraId="2E934F1F"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1324" w:type="dxa"/>
            <w:tcBorders>
              <w:top w:val="single" w:sz="4" w:space="0" w:color="auto"/>
              <w:left w:val="single" w:sz="4" w:space="0" w:color="auto"/>
              <w:bottom w:val="single" w:sz="4" w:space="0" w:color="auto"/>
              <w:right w:val="single" w:sz="4" w:space="0" w:color="auto"/>
            </w:tcBorders>
          </w:tcPr>
          <w:p w14:paraId="644F243D"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r>
      <w:tr w:rsidR="00D920F1" w14:paraId="1DC73036" w14:textId="77777777" w:rsidTr="005A1DB5">
        <w:tc>
          <w:tcPr>
            <w:tcW w:w="2295" w:type="dxa"/>
            <w:tcBorders>
              <w:top w:val="single" w:sz="4" w:space="0" w:color="auto"/>
              <w:left w:val="single" w:sz="4" w:space="0" w:color="auto"/>
              <w:bottom w:val="single" w:sz="4" w:space="0" w:color="auto"/>
              <w:right w:val="single" w:sz="4" w:space="0" w:color="auto"/>
            </w:tcBorders>
          </w:tcPr>
          <w:p w14:paraId="42838F84"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899" w:type="dxa"/>
            <w:tcBorders>
              <w:top w:val="single" w:sz="4" w:space="0" w:color="auto"/>
              <w:left w:val="single" w:sz="4" w:space="0" w:color="auto"/>
              <w:bottom w:val="single" w:sz="4" w:space="0" w:color="auto"/>
              <w:right w:val="single" w:sz="4" w:space="0" w:color="auto"/>
            </w:tcBorders>
          </w:tcPr>
          <w:p w14:paraId="4C259099"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498" w:type="dxa"/>
            <w:tcBorders>
              <w:top w:val="single" w:sz="4" w:space="0" w:color="auto"/>
              <w:left w:val="single" w:sz="4" w:space="0" w:color="auto"/>
              <w:bottom w:val="single" w:sz="4" w:space="0" w:color="auto"/>
              <w:right w:val="single" w:sz="4" w:space="0" w:color="auto"/>
            </w:tcBorders>
          </w:tcPr>
          <w:p w14:paraId="582908A9"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1324" w:type="dxa"/>
            <w:tcBorders>
              <w:top w:val="single" w:sz="4" w:space="0" w:color="auto"/>
              <w:left w:val="single" w:sz="4" w:space="0" w:color="auto"/>
              <w:bottom w:val="single" w:sz="4" w:space="0" w:color="auto"/>
              <w:right w:val="single" w:sz="4" w:space="0" w:color="auto"/>
            </w:tcBorders>
          </w:tcPr>
          <w:p w14:paraId="393E1562"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r>
      <w:tr w:rsidR="00D920F1" w14:paraId="5F062F32" w14:textId="77777777" w:rsidTr="005A1DB5">
        <w:trPr>
          <w:trHeight w:val="569"/>
        </w:trPr>
        <w:tc>
          <w:tcPr>
            <w:tcW w:w="2295" w:type="dxa"/>
            <w:tcBorders>
              <w:top w:val="single" w:sz="4" w:space="0" w:color="auto"/>
              <w:left w:val="single" w:sz="4" w:space="0" w:color="auto"/>
              <w:bottom w:val="single" w:sz="4" w:space="0" w:color="auto"/>
              <w:right w:val="single" w:sz="4" w:space="0" w:color="auto"/>
            </w:tcBorders>
          </w:tcPr>
          <w:p w14:paraId="7D9158C3"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899" w:type="dxa"/>
            <w:tcBorders>
              <w:top w:val="single" w:sz="4" w:space="0" w:color="auto"/>
              <w:left w:val="single" w:sz="4" w:space="0" w:color="auto"/>
              <w:bottom w:val="single" w:sz="4" w:space="0" w:color="auto"/>
              <w:right w:val="single" w:sz="4" w:space="0" w:color="auto"/>
            </w:tcBorders>
          </w:tcPr>
          <w:p w14:paraId="4C07262D"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9507792"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1324" w:type="dxa"/>
            <w:tcBorders>
              <w:top w:val="single" w:sz="4" w:space="0" w:color="auto"/>
              <w:left w:val="single" w:sz="4" w:space="0" w:color="auto"/>
              <w:bottom w:val="single" w:sz="4" w:space="0" w:color="auto"/>
              <w:right w:val="single" w:sz="4" w:space="0" w:color="auto"/>
            </w:tcBorders>
          </w:tcPr>
          <w:p w14:paraId="2F07F31B"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r>
      <w:tr w:rsidR="00D920F1" w14:paraId="7B461580" w14:textId="77777777" w:rsidTr="005A1DB5">
        <w:tc>
          <w:tcPr>
            <w:tcW w:w="2295" w:type="dxa"/>
            <w:tcBorders>
              <w:top w:val="single" w:sz="4" w:space="0" w:color="auto"/>
              <w:left w:val="single" w:sz="4" w:space="0" w:color="auto"/>
              <w:bottom w:val="single" w:sz="4" w:space="0" w:color="auto"/>
              <w:right w:val="single" w:sz="4" w:space="0" w:color="auto"/>
            </w:tcBorders>
          </w:tcPr>
          <w:p w14:paraId="0B4D6995"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899" w:type="dxa"/>
            <w:tcBorders>
              <w:top w:val="single" w:sz="4" w:space="0" w:color="auto"/>
              <w:left w:val="single" w:sz="4" w:space="0" w:color="auto"/>
              <w:bottom w:val="single" w:sz="4" w:space="0" w:color="auto"/>
              <w:right w:val="single" w:sz="4" w:space="0" w:color="auto"/>
            </w:tcBorders>
          </w:tcPr>
          <w:p w14:paraId="33D8397E"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92271BD"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1324" w:type="dxa"/>
            <w:tcBorders>
              <w:top w:val="single" w:sz="4" w:space="0" w:color="auto"/>
              <w:left w:val="single" w:sz="4" w:space="0" w:color="auto"/>
              <w:bottom w:val="single" w:sz="4" w:space="0" w:color="auto"/>
              <w:right w:val="single" w:sz="4" w:space="0" w:color="auto"/>
            </w:tcBorders>
          </w:tcPr>
          <w:p w14:paraId="097226C5"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r>
      <w:tr w:rsidR="00D920F1" w14:paraId="17410F14" w14:textId="77777777" w:rsidTr="005A1DB5">
        <w:tc>
          <w:tcPr>
            <w:tcW w:w="2295" w:type="dxa"/>
            <w:tcBorders>
              <w:top w:val="single" w:sz="4" w:space="0" w:color="auto"/>
              <w:left w:val="single" w:sz="4" w:space="0" w:color="auto"/>
              <w:bottom w:val="single" w:sz="4" w:space="0" w:color="auto"/>
              <w:right w:val="single" w:sz="4" w:space="0" w:color="auto"/>
            </w:tcBorders>
          </w:tcPr>
          <w:p w14:paraId="4AB3C9B5"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899" w:type="dxa"/>
            <w:tcBorders>
              <w:top w:val="single" w:sz="4" w:space="0" w:color="auto"/>
              <w:left w:val="single" w:sz="4" w:space="0" w:color="auto"/>
              <w:bottom w:val="single" w:sz="4" w:space="0" w:color="auto"/>
              <w:right w:val="single" w:sz="4" w:space="0" w:color="auto"/>
            </w:tcBorders>
          </w:tcPr>
          <w:p w14:paraId="6E4E087B"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498" w:type="dxa"/>
            <w:tcBorders>
              <w:top w:val="single" w:sz="4" w:space="0" w:color="auto"/>
              <w:left w:val="single" w:sz="4" w:space="0" w:color="auto"/>
              <w:bottom w:val="single" w:sz="4" w:space="0" w:color="auto"/>
              <w:right w:val="single" w:sz="4" w:space="0" w:color="auto"/>
            </w:tcBorders>
          </w:tcPr>
          <w:p w14:paraId="42A84DD2"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1324" w:type="dxa"/>
            <w:tcBorders>
              <w:top w:val="single" w:sz="4" w:space="0" w:color="auto"/>
              <w:left w:val="single" w:sz="4" w:space="0" w:color="auto"/>
              <w:bottom w:val="single" w:sz="4" w:space="0" w:color="auto"/>
              <w:right w:val="single" w:sz="4" w:space="0" w:color="auto"/>
            </w:tcBorders>
          </w:tcPr>
          <w:p w14:paraId="4DBE43EF"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r>
    </w:tbl>
    <w:p w14:paraId="35EC3148" w14:textId="77777777" w:rsidR="00D920F1" w:rsidRDefault="00D920F1" w:rsidP="00D920F1">
      <w:pPr>
        <w:overflowPunct w:val="0"/>
        <w:autoSpaceDE w:val="0"/>
        <w:autoSpaceDN w:val="0"/>
        <w:adjustRightInd w:val="0"/>
        <w:spacing w:after="0" w:line="240" w:lineRule="auto"/>
        <w:rPr>
          <w:rFonts w:ascii="Arial" w:eastAsia="Times New Roman" w:hAnsi="Arial" w:cs="Arial"/>
          <w:sz w:val="24"/>
          <w:szCs w:val="24"/>
          <w:lang w:eastAsia="en-GB"/>
        </w:rPr>
      </w:pPr>
    </w:p>
    <w:p w14:paraId="412B67C8" w14:textId="77777777" w:rsidR="00D920F1" w:rsidRDefault="00707DE8" w:rsidP="00D920F1">
      <w:pPr>
        <w:overflowPunct w:val="0"/>
        <w:autoSpaceDE w:val="0"/>
        <w:autoSpaceDN w:val="0"/>
        <w:adjustRightInd w:val="0"/>
        <w:spacing w:before="120" w:after="12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Person authorising on behalf of Provider</w:t>
      </w:r>
    </w:p>
    <w:tbl>
      <w:tblPr>
        <w:tblW w:w="0" w:type="auto"/>
        <w:tblLook w:val="04A0" w:firstRow="1" w:lastRow="0" w:firstColumn="1" w:lastColumn="0" w:noHBand="0" w:noVBand="1"/>
      </w:tblPr>
      <w:tblGrid>
        <w:gridCol w:w="2295"/>
        <w:gridCol w:w="2899"/>
        <w:gridCol w:w="2498"/>
        <w:gridCol w:w="1324"/>
      </w:tblGrid>
      <w:tr w:rsidR="00D920F1" w14:paraId="60C8A789" w14:textId="77777777" w:rsidTr="00D920F1">
        <w:tc>
          <w:tcPr>
            <w:tcW w:w="9747" w:type="dxa"/>
            <w:gridSpan w:val="4"/>
            <w:tcBorders>
              <w:top w:val="single" w:sz="4" w:space="0" w:color="auto"/>
              <w:left w:val="single" w:sz="4" w:space="0" w:color="auto"/>
              <w:bottom w:val="single" w:sz="4" w:space="0" w:color="auto"/>
              <w:right w:val="single" w:sz="4" w:space="0" w:color="auto"/>
            </w:tcBorders>
            <w:hideMark/>
          </w:tcPr>
          <w:p w14:paraId="39392837" w14:textId="77777777" w:rsidR="00D920F1" w:rsidRDefault="00D920F1">
            <w:pPr>
              <w:overflowPunct w:val="0"/>
              <w:autoSpaceDE w:val="0"/>
              <w:autoSpaceDN w:val="0"/>
              <w:adjustRightInd w:val="0"/>
              <w:spacing w:before="120" w:after="120" w:line="254" w:lineRule="auto"/>
              <w:ind w:right="423"/>
              <w:rPr>
                <w:rFonts w:ascii="Arial" w:eastAsia="Times New Roman" w:hAnsi="Arial" w:cs="Arial"/>
                <w:sz w:val="24"/>
                <w:szCs w:val="24"/>
              </w:rPr>
            </w:pPr>
            <w:r>
              <w:rPr>
                <w:rFonts w:ascii="Arial" w:eastAsia="Times New Roman" w:hAnsi="Arial" w:cs="Arial"/>
                <w:sz w:val="24"/>
                <w:szCs w:val="24"/>
              </w:rPr>
              <w:t xml:space="preserve">I confirm that the practitioners named above have declared themselves suitably trained and competent to work under this Protocol. I give authorisation on behalf of </w:t>
            </w:r>
            <w:r>
              <w:rPr>
                <w:rFonts w:ascii="Arial" w:eastAsia="Times New Roman" w:hAnsi="Arial" w:cs="Arial"/>
                <w:b/>
                <w:color w:val="808080"/>
                <w:sz w:val="24"/>
                <w:szCs w:val="24"/>
              </w:rPr>
              <w:t xml:space="preserve">insert name of organisation                                                                                     </w:t>
            </w:r>
            <w:r>
              <w:rPr>
                <w:rFonts w:ascii="Arial" w:eastAsia="Times New Roman" w:hAnsi="Arial" w:cs="Arial"/>
                <w:color w:val="808080"/>
                <w:sz w:val="24"/>
                <w:szCs w:val="24"/>
              </w:rPr>
              <w:t xml:space="preserve"> </w:t>
            </w:r>
            <w:r>
              <w:rPr>
                <w:rFonts w:ascii="Arial" w:eastAsia="Times New Roman" w:hAnsi="Arial" w:cs="Arial"/>
                <w:sz w:val="24"/>
                <w:szCs w:val="24"/>
              </w:rPr>
              <w:t>for the above named health care professionals who have signed the Protocol to work under it.</w:t>
            </w:r>
          </w:p>
        </w:tc>
      </w:tr>
      <w:tr w:rsidR="00D920F1" w14:paraId="60570DC8" w14:textId="77777777" w:rsidTr="00D920F1">
        <w:tc>
          <w:tcPr>
            <w:tcW w:w="2518" w:type="dxa"/>
            <w:tcBorders>
              <w:top w:val="single" w:sz="4" w:space="0" w:color="auto"/>
              <w:left w:val="single" w:sz="4" w:space="0" w:color="auto"/>
              <w:bottom w:val="single" w:sz="4" w:space="0" w:color="auto"/>
              <w:right w:val="single" w:sz="4" w:space="0" w:color="auto"/>
            </w:tcBorders>
            <w:hideMark/>
          </w:tcPr>
          <w:p w14:paraId="0CD01FA5"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Name</w:t>
            </w:r>
          </w:p>
        </w:tc>
        <w:tc>
          <w:tcPr>
            <w:tcW w:w="3119" w:type="dxa"/>
            <w:tcBorders>
              <w:top w:val="single" w:sz="4" w:space="0" w:color="auto"/>
              <w:left w:val="single" w:sz="4" w:space="0" w:color="auto"/>
              <w:bottom w:val="single" w:sz="4" w:space="0" w:color="auto"/>
              <w:right w:val="single" w:sz="4" w:space="0" w:color="auto"/>
            </w:tcBorders>
            <w:hideMark/>
          </w:tcPr>
          <w:p w14:paraId="275AAD7F"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Designation</w:t>
            </w:r>
          </w:p>
        </w:tc>
        <w:tc>
          <w:tcPr>
            <w:tcW w:w="2693" w:type="dxa"/>
            <w:tcBorders>
              <w:top w:val="single" w:sz="4" w:space="0" w:color="auto"/>
              <w:left w:val="single" w:sz="4" w:space="0" w:color="auto"/>
              <w:bottom w:val="single" w:sz="4" w:space="0" w:color="auto"/>
              <w:right w:val="single" w:sz="4" w:space="0" w:color="auto"/>
            </w:tcBorders>
            <w:hideMark/>
          </w:tcPr>
          <w:p w14:paraId="5CBEAF96"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Signature</w:t>
            </w:r>
          </w:p>
        </w:tc>
        <w:tc>
          <w:tcPr>
            <w:tcW w:w="1417" w:type="dxa"/>
            <w:tcBorders>
              <w:top w:val="single" w:sz="4" w:space="0" w:color="auto"/>
              <w:left w:val="single" w:sz="4" w:space="0" w:color="auto"/>
              <w:bottom w:val="single" w:sz="4" w:space="0" w:color="auto"/>
              <w:right w:val="single" w:sz="4" w:space="0" w:color="auto"/>
            </w:tcBorders>
            <w:hideMark/>
          </w:tcPr>
          <w:p w14:paraId="1A62EE27"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Date</w:t>
            </w:r>
          </w:p>
        </w:tc>
      </w:tr>
      <w:tr w:rsidR="00D920F1" w14:paraId="46FFBD58" w14:textId="77777777" w:rsidTr="00D920F1">
        <w:tc>
          <w:tcPr>
            <w:tcW w:w="2518" w:type="dxa"/>
            <w:tcBorders>
              <w:top w:val="single" w:sz="4" w:space="0" w:color="auto"/>
              <w:left w:val="single" w:sz="4" w:space="0" w:color="auto"/>
              <w:bottom w:val="single" w:sz="4" w:space="0" w:color="auto"/>
              <w:right w:val="single" w:sz="4" w:space="0" w:color="auto"/>
            </w:tcBorders>
          </w:tcPr>
          <w:p w14:paraId="06B893AB"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tcPr>
          <w:p w14:paraId="7205AAB6"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E72ECAB"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EE5354" w14:textId="77777777" w:rsidR="00D920F1" w:rsidRDefault="00D920F1">
            <w:pPr>
              <w:overflowPunct w:val="0"/>
              <w:autoSpaceDE w:val="0"/>
              <w:autoSpaceDN w:val="0"/>
              <w:adjustRightInd w:val="0"/>
              <w:spacing w:before="120" w:after="120" w:line="254" w:lineRule="auto"/>
              <w:rPr>
                <w:rFonts w:ascii="Arial" w:eastAsia="Times New Roman" w:hAnsi="Arial" w:cs="Arial"/>
                <w:sz w:val="24"/>
                <w:szCs w:val="24"/>
              </w:rPr>
            </w:pPr>
          </w:p>
        </w:tc>
      </w:tr>
    </w:tbl>
    <w:p w14:paraId="5C0FAE50" w14:textId="77777777" w:rsidR="00D920F1" w:rsidRDefault="00D920F1" w:rsidP="00D920F1">
      <w:pPr>
        <w:overflowPunct w:val="0"/>
        <w:autoSpaceDE w:val="0"/>
        <w:autoSpaceDN w:val="0"/>
        <w:adjustRightInd w:val="0"/>
        <w:spacing w:before="120" w:after="12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Note to </w:t>
      </w:r>
      <w:r w:rsidR="00707DE8">
        <w:rPr>
          <w:rFonts w:ascii="Arial" w:eastAsia="Times New Roman" w:hAnsi="Arial" w:cs="Arial"/>
          <w:b/>
          <w:sz w:val="24"/>
          <w:szCs w:val="24"/>
          <w:lang w:eastAsia="en-GB"/>
        </w:rPr>
        <w:t>person authorising on behalf of Provider</w:t>
      </w:r>
    </w:p>
    <w:p w14:paraId="609F08A1" w14:textId="77777777" w:rsidR="00D920F1" w:rsidRDefault="00D920F1" w:rsidP="00D920F1">
      <w:pPr>
        <w:autoSpaceDN w:val="0"/>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Score through unused rows in the list of practitioners to prevent practitioner additions post managerial authorisation.</w:t>
      </w:r>
    </w:p>
    <w:p w14:paraId="501AF2F6" w14:textId="77777777" w:rsidR="00E24FB2" w:rsidRDefault="00D920F1" w:rsidP="00D23D5D">
      <w:pPr>
        <w:autoSpaceDN w:val="0"/>
        <w:spacing w:before="120" w:after="120" w:line="240" w:lineRule="auto"/>
        <w:rPr>
          <w:rFonts w:ascii="Arial" w:hAnsi="Arial" w:cs="Arial"/>
          <w:sz w:val="24"/>
          <w:szCs w:val="24"/>
        </w:rPr>
      </w:pPr>
      <w:r>
        <w:rPr>
          <w:rFonts w:ascii="Arial" w:eastAsia="Times New Roman" w:hAnsi="Arial" w:cs="Arial"/>
          <w:sz w:val="24"/>
          <w:szCs w:val="24"/>
          <w:lang w:eastAsia="en-GB"/>
        </w:rPr>
        <w:t>This authorisation sheet should be retained to serve as a record of those practitioners authorised to work under this Protocol.</w:t>
      </w:r>
      <w:r w:rsidR="00E24FB2">
        <w:rPr>
          <w:rFonts w:ascii="Arial" w:hAnsi="Arial" w:cs="Arial"/>
          <w:sz w:val="24"/>
          <w:szCs w:val="24"/>
        </w:rPr>
        <w:br w:type="page"/>
      </w:r>
    </w:p>
    <w:p w14:paraId="34E7A57A" w14:textId="77777777" w:rsidR="00E24FB2" w:rsidRDefault="00E24FB2" w:rsidP="00E24FB2">
      <w:pPr>
        <w:overflowPunct w:val="0"/>
        <w:autoSpaceDE w:val="0"/>
        <w:autoSpaceDN w:val="0"/>
        <w:adjustRightInd w:val="0"/>
        <w:spacing w:after="0" w:line="240" w:lineRule="auto"/>
        <w:contextualSpacing/>
        <w:jc w:val="right"/>
        <w:rPr>
          <w:rFonts w:ascii="Arial" w:eastAsia="Times New Roman" w:hAnsi="Arial" w:cs="Arial"/>
          <w:b/>
          <w:sz w:val="24"/>
          <w:szCs w:val="24"/>
          <w:lang w:eastAsia="en-GB"/>
        </w:rPr>
      </w:pPr>
      <w:r>
        <w:rPr>
          <w:rFonts w:ascii="Arial" w:eastAsia="Times New Roman" w:hAnsi="Arial" w:cs="Arial"/>
          <w:b/>
          <w:sz w:val="24"/>
          <w:szCs w:val="24"/>
          <w:lang w:eastAsia="en-GB"/>
        </w:rPr>
        <w:t>ANNEX C: Clinical Supervision sheet</w:t>
      </w:r>
    </w:p>
    <w:p w14:paraId="35C4188E" w14:textId="77777777" w:rsidR="00E24FB2" w:rsidRDefault="00E24FB2" w:rsidP="00E24FB2">
      <w:pPr>
        <w:autoSpaceDN w:val="0"/>
        <w:spacing w:after="0" w:line="240" w:lineRule="auto"/>
        <w:rPr>
          <w:rFonts w:ascii="Arial" w:eastAsia="Times New Roman" w:hAnsi="Arial" w:cs="Arial"/>
          <w:b/>
          <w:sz w:val="24"/>
          <w:szCs w:val="24"/>
          <w:lang w:eastAsia="en-GB"/>
        </w:rPr>
      </w:pPr>
    </w:p>
    <w:p w14:paraId="3EEED441" w14:textId="77777777" w:rsidR="00E24FB2" w:rsidRDefault="00D23D5D" w:rsidP="00E24FB2">
      <w:pPr>
        <w:overflowPunct w:val="0"/>
        <w:autoSpaceDE w:val="0"/>
        <w:autoSpaceDN w:val="0"/>
        <w:adjustRightInd w:val="0"/>
        <w:spacing w:after="0" w:line="240" w:lineRule="auto"/>
        <w:ind w:rightChars="-375" w:right="-825"/>
        <w:rPr>
          <w:rFonts w:ascii="Arial" w:eastAsia="Times New Roman" w:hAnsi="Arial" w:cs="Arial"/>
          <w:b/>
          <w:sz w:val="24"/>
          <w:szCs w:val="24"/>
          <w:lang w:eastAsia="en-GB"/>
        </w:rPr>
      </w:pPr>
      <w:r w:rsidRPr="00AD37A3">
        <w:rPr>
          <w:rFonts w:ascii="Arial" w:hAnsi="Arial" w:cs="Arial"/>
          <w:b/>
          <w:sz w:val="24"/>
          <w:szCs w:val="24"/>
        </w:rPr>
        <w:t>COVID-19 mRNA Vaccine BNT162b2 Pfizer/BioNTech</w:t>
      </w:r>
      <w:r w:rsidRPr="00AD37A3">
        <w:rPr>
          <w:b/>
        </w:rPr>
        <w:t xml:space="preserve"> </w:t>
      </w:r>
      <w:r w:rsidRPr="00AD37A3">
        <w:rPr>
          <w:rFonts w:ascii="Arial" w:eastAsia="Times New Roman" w:hAnsi="Arial" w:cs="Arial"/>
          <w:b/>
          <w:sz w:val="24"/>
          <w:szCs w:val="24"/>
          <w:lang w:eastAsia="en-GB"/>
        </w:rPr>
        <w:t xml:space="preserve"> </w:t>
      </w:r>
      <w:r>
        <w:rPr>
          <w:rFonts w:ascii="Arial" w:eastAsia="Times New Roman" w:hAnsi="Arial" w:cs="Arial"/>
          <w:b/>
          <w:sz w:val="24"/>
          <w:szCs w:val="24"/>
          <w:lang w:eastAsia="en-GB"/>
        </w:rPr>
        <w:t xml:space="preserve">Vaccine </w:t>
      </w:r>
      <w:r w:rsidR="00E24FB2">
        <w:rPr>
          <w:rFonts w:ascii="Arial" w:eastAsia="Times New Roman" w:hAnsi="Arial" w:cs="Arial"/>
          <w:b/>
          <w:sz w:val="24"/>
          <w:szCs w:val="24"/>
          <w:lang w:eastAsia="en-GB"/>
        </w:rPr>
        <w:t>Protocol v00.01 Valid from: DDDDDD Expiry: DDDDDD</w:t>
      </w:r>
    </w:p>
    <w:p w14:paraId="6B51A531" w14:textId="77777777" w:rsidR="00E24FB2" w:rsidRDefault="00E24FB2" w:rsidP="00E24FB2">
      <w:pPr>
        <w:autoSpaceDN w:val="0"/>
        <w:spacing w:after="0" w:line="240" w:lineRule="auto"/>
        <w:rPr>
          <w:rFonts w:ascii="Arial" w:eastAsia="Times New Roman" w:hAnsi="Arial" w:cs="Arial"/>
          <w:b/>
          <w:sz w:val="24"/>
          <w:szCs w:val="24"/>
          <w:lang w:eastAsia="en-GB"/>
        </w:rPr>
      </w:pPr>
    </w:p>
    <w:p w14:paraId="363B3200" w14:textId="77777777" w:rsidR="00E24FB2" w:rsidRDefault="00E24FB2" w:rsidP="00E24FB2">
      <w:pPr>
        <w:tabs>
          <w:tab w:val="left" w:pos="7647"/>
        </w:tabs>
        <w:ind w:right="75"/>
        <w:rPr>
          <w:rFonts w:ascii="Arial" w:hAnsi="Arial" w:cs="Arial"/>
          <w:sz w:val="24"/>
          <w:szCs w:val="24"/>
        </w:rPr>
      </w:pPr>
      <w:r>
        <w:rPr>
          <w:rFonts w:ascii="Arial" w:hAnsi="Arial" w:cs="Arial"/>
          <w:sz w:val="24"/>
          <w:szCs w:val="24"/>
        </w:rPr>
        <w:t xml:space="preserve">This sheet must record the name of the clinical supervisor taking responsibility and all of the people working under different activity stages of the protocol.  </w:t>
      </w:r>
    </w:p>
    <w:p w14:paraId="17FA04BE" w14:textId="77777777" w:rsidR="00E24FB2" w:rsidRPr="00BD46D6" w:rsidRDefault="00E24FB2" w:rsidP="00E24FB2">
      <w:pPr>
        <w:pStyle w:val="Header"/>
        <w:tabs>
          <w:tab w:val="left" w:pos="720"/>
        </w:tabs>
        <w:spacing w:before="120" w:after="120"/>
        <w:rPr>
          <w:rFonts w:ascii="Arial" w:hAnsi="Arial" w:cs="Arial"/>
          <w:szCs w:val="24"/>
        </w:rPr>
      </w:pPr>
      <w:r w:rsidRPr="00BD46D6">
        <w:rPr>
          <w:rFonts w:ascii="Arial" w:hAnsi="Arial" w:cs="Arial"/>
          <w:szCs w:val="24"/>
        </w:rPr>
        <w:t>Activity stages of the vaccination pathway under this protocol</w:t>
      </w:r>
      <w:r>
        <w:rPr>
          <w:rFonts w:ascii="Arial" w:hAnsi="Arial" w:cs="Arial"/>
          <w:szCs w:val="24"/>
        </w:rPr>
        <w:t>:</w:t>
      </w:r>
    </w:p>
    <w:tbl>
      <w:tblPr>
        <w:tblStyle w:val="TableGrid"/>
        <w:tblW w:w="9355" w:type="dxa"/>
        <w:tblInd w:w="0" w:type="dxa"/>
        <w:tblLayout w:type="fixed"/>
        <w:tblLook w:val="04A0" w:firstRow="1" w:lastRow="0" w:firstColumn="1" w:lastColumn="0" w:noHBand="0" w:noVBand="1"/>
      </w:tblPr>
      <w:tblGrid>
        <w:gridCol w:w="992"/>
        <w:gridCol w:w="5812"/>
        <w:gridCol w:w="2551"/>
      </w:tblGrid>
      <w:tr w:rsidR="00E24FB2" w:rsidRPr="00BD46D6" w14:paraId="2F9AD431" w14:textId="77777777" w:rsidTr="00C942FB">
        <w:tc>
          <w:tcPr>
            <w:tcW w:w="992" w:type="dxa"/>
            <w:shd w:val="clear" w:color="auto" w:fill="D9D9D9" w:themeFill="background1" w:themeFillShade="D9"/>
          </w:tcPr>
          <w:p w14:paraId="6D949F39" w14:textId="77777777" w:rsidR="00E24FB2" w:rsidRPr="00BD46D6" w:rsidRDefault="00E24FB2" w:rsidP="00C942FB">
            <w:pPr>
              <w:tabs>
                <w:tab w:val="left" w:pos="7647"/>
              </w:tabs>
              <w:jc w:val="left"/>
              <w:rPr>
                <w:rFonts w:cs="Arial"/>
                <w:sz w:val="24"/>
                <w:szCs w:val="24"/>
              </w:rPr>
            </w:pPr>
            <w:r w:rsidRPr="00BD46D6">
              <w:rPr>
                <w:rFonts w:cs="Arial"/>
                <w:sz w:val="24"/>
                <w:szCs w:val="24"/>
              </w:rPr>
              <w:t>Stage 1</w:t>
            </w:r>
          </w:p>
        </w:tc>
        <w:tc>
          <w:tcPr>
            <w:tcW w:w="5812" w:type="dxa"/>
          </w:tcPr>
          <w:p w14:paraId="79AD425E" w14:textId="77777777" w:rsidR="00E24FB2" w:rsidRPr="00BD46D6" w:rsidRDefault="00E24FB2" w:rsidP="00C942FB">
            <w:pPr>
              <w:pStyle w:val="ListParagraph"/>
              <w:numPr>
                <w:ilvl w:val="0"/>
                <w:numId w:val="18"/>
              </w:numPr>
              <w:tabs>
                <w:tab w:val="left" w:pos="7647"/>
              </w:tabs>
              <w:ind w:left="226" w:hanging="283"/>
              <w:jc w:val="left"/>
              <w:textAlignment w:val="baseline"/>
              <w:rPr>
                <w:rFonts w:cs="Arial"/>
                <w:noProof/>
                <w:szCs w:val="24"/>
              </w:rPr>
            </w:pPr>
            <w:r w:rsidRPr="00BD46D6">
              <w:rPr>
                <w:rFonts w:cs="Arial"/>
                <w:noProof/>
                <w:szCs w:val="24"/>
              </w:rPr>
              <w:t>Assessment of the individual presenting for vaccination</w:t>
            </w:r>
          </w:p>
          <w:p w14:paraId="06D80950" w14:textId="77777777" w:rsidR="00E24FB2" w:rsidRPr="00BD46D6" w:rsidRDefault="00E24FB2" w:rsidP="00C942FB">
            <w:pPr>
              <w:pStyle w:val="ListParagraph"/>
              <w:numPr>
                <w:ilvl w:val="0"/>
                <w:numId w:val="18"/>
              </w:numPr>
              <w:tabs>
                <w:tab w:val="left" w:pos="7647"/>
              </w:tabs>
              <w:ind w:left="226" w:hanging="283"/>
              <w:jc w:val="left"/>
              <w:textAlignment w:val="baseline"/>
              <w:rPr>
                <w:rFonts w:cs="Arial"/>
                <w:noProof/>
                <w:szCs w:val="24"/>
              </w:rPr>
            </w:pPr>
            <w:r w:rsidRPr="00BD46D6">
              <w:rPr>
                <w:rFonts w:cs="Arial"/>
                <w:noProof/>
                <w:szCs w:val="24"/>
              </w:rPr>
              <w:t>Provide information and obtain informed consent</w:t>
            </w:r>
          </w:p>
          <w:p w14:paraId="28E9EA9A" w14:textId="77777777" w:rsidR="00E24FB2" w:rsidRPr="00BD46D6" w:rsidRDefault="00E24FB2" w:rsidP="00C942FB">
            <w:pPr>
              <w:pStyle w:val="ListParagraph"/>
              <w:numPr>
                <w:ilvl w:val="0"/>
                <w:numId w:val="18"/>
              </w:numPr>
              <w:tabs>
                <w:tab w:val="left" w:pos="7647"/>
              </w:tabs>
              <w:ind w:left="226" w:hanging="283"/>
              <w:jc w:val="left"/>
              <w:textAlignment w:val="baseline"/>
              <w:rPr>
                <w:rFonts w:cs="Arial"/>
                <w:szCs w:val="24"/>
              </w:rPr>
            </w:pPr>
            <w:r w:rsidRPr="00BD46D6">
              <w:rPr>
                <w:rFonts w:cs="Arial"/>
                <w:noProof/>
                <w:szCs w:val="24"/>
              </w:rPr>
              <w:t>Provide advice to the individual</w:t>
            </w:r>
          </w:p>
        </w:tc>
        <w:tc>
          <w:tcPr>
            <w:tcW w:w="2551" w:type="dxa"/>
          </w:tcPr>
          <w:p w14:paraId="30D9D3B0" w14:textId="77777777" w:rsidR="00E24FB2" w:rsidRPr="00BD46D6" w:rsidRDefault="00E24FB2" w:rsidP="00C942FB">
            <w:pPr>
              <w:tabs>
                <w:tab w:val="left" w:pos="7647"/>
              </w:tabs>
              <w:ind w:left="31"/>
              <w:jc w:val="left"/>
              <w:rPr>
                <w:rFonts w:cs="Arial"/>
                <w:noProof/>
                <w:sz w:val="24"/>
                <w:szCs w:val="24"/>
              </w:rPr>
            </w:pPr>
            <w:r w:rsidRPr="00BD46D6">
              <w:rPr>
                <w:rFonts w:cs="Arial"/>
                <w:noProof/>
                <w:sz w:val="24"/>
                <w:szCs w:val="24"/>
              </w:rPr>
              <w:t>Registered Healthcare Professionals Only</w:t>
            </w:r>
          </w:p>
        </w:tc>
      </w:tr>
      <w:tr w:rsidR="00E24FB2" w:rsidRPr="00BD46D6" w14:paraId="19088C2D" w14:textId="77777777" w:rsidTr="00C942FB">
        <w:tc>
          <w:tcPr>
            <w:tcW w:w="992" w:type="dxa"/>
            <w:shd w:val="clear" w:color="auto" w:fill="D9D9D9" w:themeFill="background1" w:themeFillShade="D9"/>
          </w:tcPr>
          <w:p w14:paraId="61CB19B1" w14:textId="77777777" w:rsidR="00E24FB2" w:rsidRPr="00BD46D6" w:rsidRDefault="00E24FB2" w:rsidP="00C942FB">
            <w:pPr>
              <w:tabs>
                <w:tab w:val="left" w:pos="7647"/>
              </w:tabs>
              <w:jc w:val="left"/>
              <w:rPr>
                <w:rFonts w:cs="Arial"/>
                <w:sz w:val="24"/>
                <w:szCs w:val="24"/>
              </w:rPr>
            </w:pPr>
            <w:r w:rsidRPr="00BD46D6">
              <w:rPr>
                <w:rFonts w:cs="Arial"/>
                <w:sz w:val="24"/>
                <w:szCs w:val="24"/>
              </w:rPr>
              <w:t>Stage 2</w:t>
            </w:r>
          </w:p>
        </w:tc>
        <w:tc>
          <w:tcPr>
            <w:tcW w:w="5812" w:type="dxa"/>
          </w:tcPr>
          <w:p w14:paraId="47A5767D" w14:textId="77777777" w:rsidR="00E24FB2" w:rsidRPr="00BD46D6" w:rsidRDefault="00E24FB2" w:rsidP="00C942FB">
            <w:pPr>
              <w:pStyle w:val="ListParagraph"/>
              <w:numPr>
                <w:ilvl w:val="0"/>
                <w:numId w:val="17"/>
              </w:numPr>
              <w:tabs>
                <w:tab w:val="left" w:pos="7647"/>
              </w:tabs>
              <w:ind w:left="120" w:hanging="141"/>
              <w:jc w:val="both"/>
              <w:textAlignment w:val="baseline"/>
              <w:rPr>
                <w:rFonts w:cs="Arial"/>
                <w:noProof/>
                <w:szCs w:val="24"/>
              </w:rPr>
            </w:pPr>
            <w:r w:rsidRPr="00BD46D6">
              <w:rPr>
                <w:rFonts w:cs="Arial"/>
                <w:noProof/>
                <w:szCs w:val="24"/>
              </w:rPr>
              <w:t>Vaccine Preparation</w:t>
            </w:r>
          </w:p>
        </w:tc>
        <w:tc>
          <w:tcPr>
            <w:tcW w:w="2551" w:type="dxa"/>
          </w:tcPr>
          <w:p w14:paraId="31BF756C" w14:textId="77777777" w:rsidR="00E24FB2" w:rsidRPr="00BD46D6" w:rsidRDefault="00E24FB2" w:rsidP="00C942FB">
            <w:pPr>
              <w:tabs>
                <w:tab w:val="left" w:pos="7647"/>
              </w:tabs>
              <w:ind w:left="31"/>
              <w:jc w:val="left"/>
              <w:rPr>
                <w:rFonts w:cs="Arial"/>
                <w:noProof/>
                <w:sz w:val="24"/>
                <w:szCs w:val="24"/>
              </w:rPr>
            </w:pPr>
            <w:r w:rsidRPr="00BD46D6">
              <w:rPr>
                <w:rFonts w:cs="Arial"/>
                <w:noProof/>
                <w:sz w:val="24"/>
                <w:szCs w:val="24"/>
              </w:rPr>
              <w:t>Registered or non-registered persons</w:t>
            </w:r>
          </w:p>
        </w:tc>
      </w:tr>
      <w:tr w:rsidR="00E24FB2" w:rsidRPr="00BD46D6" w14:paraId="4D551B69" w14:textId="77777777" w:rsidTr="00C942FB">
        <w:tc>
          <w:tcPr>
            <w:tcW w:w="992" w:type="dxa"/>
            <w:shd w:val="clear" w:color="auto" w:fill="D9D9D9" w:themeFill="background1" w:themeFillShade="D9"/>
          </w:tcPr>
          <w:p w14:paraId="77F648F3" w14:textId="77777777" w:rsidR="00E24FB2" w:rsidRPr="00BD46D6" w:rsidRDefault="00E24FB2" w:rsidP="00C942FB">
            <w:pPr>
              <w:tabs>
                <w:tab w:val="left" w:pos="7647"/>
              </w:tabs>
              <w:jc w:val="left"/>
              <w:rPr>
                <w:rFonts w:cs="Arial"/>
                <w:sz w:val="24"/>
                <w:szCs w:val="24"/>
              </w:rPr>
            </w:pPr>
            <w:r w:rsidRPr="00BD46D6">
              <w:rPr>
                <w:rFonts w:cs="Arial"/>
                <w:sz w:val="24"/>
                <w:szCs w:val="24"/>
              </w:rPr>
              <w:t>Stage 3</w:t>
            </w:r>
          </w:p>
        </w:tc>
        <w:tc>
          <w:tcPr>
            <w:tcW w:w="5812" w:type="dxa"/>
          </w:tcPr>
          <w:p w14:paraId="3E5991BB" w14:textId="77777777" w:rsidR="00E24FB2" w:rsidRPr="00BD46D6" w:rsidRDefault="00E24FB2" w:rsidP="00C942FB">
            <w:pPr>
              <w:pStyle w:val="ListParagraph"/>
              <w:numPr>
                <w:ilvl w:val="0"/>
                <w:numId w:val="17"/>
              </w:numPr>
              <w:tabs>
                <w:tab w:val="left" w:pos="7647"/>
              </w:tabs>
              <w:ind w:left="120" w:hanging="141"/>
              <w:jc w:val="both"/>
              <w:textAlignment w:val="baseline"/>
              <w:rPr>
                <w:rFonts w:cs="Arial"/>
                <w:szCs w:val="24"/>
              </w:rPr>
            </w:pPr>
            <w:r w:rsidRPr="00BD46D6">
              <w:rPr>
                <w:rFonts w:cs="Arial"/>
                <w:noProof/>
                <w:szCs w:val="24"/>
              </w:rPr>
              <w:t>Vaccine Administration</w:t>
            </w:r>
          </w:p>
        </w:tc>
        <w:tc>
          <w:tcPr>
            <w:tcW w:w="2551" w:type="dxa"/>
          </w:tcPr>
          <w:p w14:paraId="0D388BBA" w14:textId="77777777" w:rsidR="00E24FB2" w:rsidRPr="00BD46D6" w:rsidRDefault="00E24FB2" w:rsidP="00C942FB">
            <w:pPr>
              <w:tabs>
                <w:tab w:val="left" w:pos="7647"/>
              </w:tabs>
              <w:ind w:left="31"/>
              <w:jc w:val="left"/>
              <w:rPr>
                <w:rFonts w:cs="Arial"/>
                <w:noProof/>
                <w:sz w:val="24"/>
                <w:szCs w:val="24"/>
              </w:rPr>
            </w:pPr>
            <w:r w:rsidRPr="00BD46D6">
              <w:rPr>
                <w:rFonts w:cs="Arial"/>
                <w:noProof/>
                <w:sz w:val="24"/>
                <w:szCs w:val="24"/>
              </w:rPr>
              <w:t>Registered or non-registered persons</w:t>
            </w:r>
          </w:p>
        </w:tc>
      </w:tr>
      <w:tr w:rsidR="00E24FB2" w:rsidRPr="00BD46D6" w14:paraId="2114079F" w14:textId="77777777" w:rsidTr="00C942FB">
        <w:tc>
          <w:tcPr>
            <w:tcW w:w="992" w:type="dxa"/>
            <w:shd w:val="clear" w:color="auto" w:fill="D9D9D9" w:themeFill="background1" w:themeFillShade="D9"/>
          </w:tcPr>
          <w:p w14:paraId="550977DD" w14:textId="77777777" w:rsidR="00E24FB2" w:rsidRPr="00BD46D6" w:rsidRDefault="00E24FB2" w:rsidP="00C942FB">
            <w:pPr>
              <w:tabs>
                <w:tab w:val="left" w:pos="7647"/>
              </w:tabs>
              <w:jc w:val="both"/>
              <w:rPr>
                <w:rFonts w:cs="Arial"/>
                <w:sz w:val="24"/>
                <w:szCs w:val="24"/>
              </w:rPr>
            </w:pPr>
            <w:r w:rsidRPr="00BD46D6">
              <w:rPr>
                <w:rFonts w:cs="Arial"/>
                <w:sz w:val="24"/>
                <w:szCs w:val="24"/>
              </w:rPr>
              <w:t>Stage 4</w:t>
            </w:r>
          </w:p>
        </w:tc>
        <w:tc>
          <w:tcPr>
            <w:tcW w:w="5812" w:type="dxa"/>
          </w:tcPr>
          <w:p w14:paraId="674848A0" w14:textId="77777777" w:rsidR="00E24FB2" w:rsidRPr="00BD46D6" w:rsidRDefault="00E24FB2" w:rsidP="00C942FB">
            <w:pPr>
              <w:pStyle w:val="ListParagraph"/>
              <w:numPr>
                <w:ilvl w:val="0"/>
                <w:numId w:val="17"/>
              </w:numPr>
              <w:tabs>
                <w:tab w:val="left" w:pos="7647"/>
              </w:tabs>
              <w:ind w:left="120" w:hanging="141"/>
              <w:jc w:val="both"/>
              <w:textAlignment w:val="baseline"/>
              <w:rPr>
                <w:rFonts w:cs="Arial"/>
                <w:szCs w:val="24"/>
              </w:rPr>
            </w:pPr>
            <w:r w:rsidRPr="00BD46D6">
              <w:rPr>
                <w:rFonts w:cs="Arial"/>
                <w:noProof/>
                <w:szCs w:val="24"/>
              </w:rPr>
              <w:t>Record Keeping</w:t>
            </w:r>
          </w:p>
        </w:tc>
        <w:tc>
          <w:tcPr>
            <w:tcW w:w="2551" w:type="dxa"/>
          </w:tcPr>
          <w:p w14:paraId="5B171F2E" w14:textId="77777777" w:rsidR="00E24FB2" w:rsidRPr="00BD46D6" w:rsidRDefault="00E24FB2" w:rsidP="00C942FB">
            <w:pPr>
              <w:tabs>
                <w:tab w:val="left" w:pos="7647"/>
              </w:tabs>
              <w:ind w:left="31"/>
              <w:jc w:val="left"/>
              <w:rPr>
                <w:rFonts w:cs="Arial"/>
                <w:noProof/>
                <w:sz w:val="24"/>
                <w:szCs w:val="24"/>
              </w:rPr>
            </w:pPr>
            <w:r w:rsidRPr="00BD46D6">
              <w:rPr>
                <w:rFonts w:cs="Arial"/>
                <w:noProof/>
                <w:sz w:val="24"/>
                <w:szCs w:val="24"/>
              </w:rPr>
              <w:t>Registered or non-registered persons</w:t>
            </w:r>
          </w:p>
        </w:tc>
      </w:tr>
    </w:tbl>
    <w:p w14:paraId="1875256C" w14:textId="77777777" w:rsidR="00E24FB2" w:rsidRDefault="00E24FB2" w:rsidP="00E24FB2">
      <w:pPr>
        <w:tabs>
          <w:tab w:val="left" w:pos="7647"/>
        </w:tabs>
        <w:ind w:right="75"/>
        <w:rPr>
          <w:rFonts w:ascii="Arial" w:hAnsi="Arial" w:cs="Arial"/>
          <w:sz w:val="24"/>
          <w:szCs w:val="24"/>
        </w:rPr>
      </w:pPr>
      <w:r>
        <w:rPr>
          <w:rFonts w:ascii="Arial" w:hAnsi="Arial" w:cs="Arial"/>
          <w:sz w:val="24"/>
          <w:szCs w:val="24"/>
        </w:rPr>
        <w:t xml:space="preserve">The clinical supervisor has ultimate responsibility for safe care being provided under the terms of the protocol. Persons working under the protocol may be supported by additional registered healthcare professionals, but the clinical supervisor retains responsibility. </w:t>
      </w:r>
    </w:p>
    <w:p w14:paraId="61295EB9" w14:textId="77777777" w:rsidR="00E24FB2" w:rsidRDefault="00E24FB2" w:rsidP="00E24FB2">
      <w:pPr>
        <w:autoSpaceDN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Before signing this Protocol, check that the document has had the necessary authorisations. Without these, this Protocol is not lawfully valid.</w:t>
      </w:r>
    </w:p>
    <w:p w14:paraId="0B23CBC8" w14:textId="77777777" w:rsidR="00E24FB2" w:rsidRDefault="00E24FB2" w:rsidP="00E24FB2">
      <w:pPr>
        <w:autoSpaceDN w:val="0"/>
        <w:spacing w:after="0" w:line="240" w:lineRule="auto"/>
        <w:rPr>
          <w:rFonts w:ascii="Arial" w:eastAsia="Times New Roman" w:hAnsi="Arial" w:cs="Arial"/>
          <w:b/>
          <w:sz w:val="24"/>
          <w:szCs w:val="24"/>
          <w:lang w:eastAsia="en-GB"/>
        </w:rPr>
      </w:pPr>
    </w:p>
    <w:p w14:paraId="774D72B2" w14:textId="77777777" w:rsidR="00E24FB2" w:rsidRDefault="00E24FB2" w:rsidP="00E24FB2">
      <w:pPr>
        <w:autoSpaceDN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Clinical Supervisor</w:t>
      </w:r>
    </w:p>
    <w:tbl>
      <w:tblPr>
        <w:tblW w:w="0" w:type="auto"/>
        <w:tblLook w:val="04A0" w:firstRow="1" w:lastRow="0" w:firstColumn="1" w:lastColumn="0" w:noHBand="0" w:noVBand="1"/>
      </w:tblPr>
      <w:tblGrid>
        <w:gridCol w:w="2295"/>
        <w:gridCol w:w="2899"/>
        <w:gridCol w:w="2498"/>
        <w:gridCol w:w="1324"/>
      </w:tblGrid>
      <w:tr w:rsidR="00E24FB2" w14:paraId="1FBC3B21" w14:textId="77777777" w:rsidTr="00C942FB">
        <w:tc>
          <w:tcPr>
            <w:tcW w:w="2295" w:type="dxa"/>
            <w:tcBorders>
              <w:top w:val="single" w:sz="4" w:space="0" w:color="auto"/>
              <w:left w:val="single" w:sz="4" w:space="0" w:color="auto"/>
              <w:bottom w:val="single" w:sz="4" w:space="0" w:color="auto"/>
              <w:right w:val="single" w:sz="4" w:space="0" w:color="auto"/>
            </w:tcBorders>
            <w:hideMark/>
          </w:tcPr>
          <w:p w14:paraId="71361BF5"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Name</w:t>
            </w:r>
          </w:p>
        </w:tc>
        <w:tc>
          <w:tcPr>
            <w:tcW w:w="2899" w:type="dxa"/>
            <w:tcBorders>
              <w:top w:val="single" w:sz="4" w:space="0" w:color="auto"/>
              <w:left w:val="single" w:sz="4" w:space="0" w:color="auto"/>
              <w:bottom w:val="single" w:sz="4" w:space="0" w:color="auto"/>
              <w:right w:val="single" w:sz="4" w:space="0" w:color="auto"/>
            </w:tcBorders>
            <w:hideMark/>
          </w:tcPr>
          <w:p w14:paraId="43DB8B9A"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Designation</w:t>
            </w:r>
          </w:p>
        </w:tc>
        <w:tc>
          <w:tcPr>
            <w:tcW w:w="2498" w:type="dxa"/>
            <w:tcBorders>
              <w:top w:val="single" w:sz="4" w:space="0" w:color="auto"/>
              <w:left w:val="single" w:sz="4" w:space="0" w:color="auto"/>
              <w:bottom w:val="single" w:sz="4" w:space="0" w:color="auto"/>
              <w:right w:val="single" w:sz="4" w:space="0" w:color="auto"/>
            </w:tcBorders>
            <w:hideMark/>
          </w:tcPr>
          <w:p w14:paraId="588767B0"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Signature</w:t>
            </w:r>
          </w:p>
        </w:tc>
        <w:tc>
          <w:tcPr>
            <w:tcW w:w="1324" w:type="dxa"/>
            <w:tcBorders>
              <w:top w:val="single" w:sz="4" w:space="0" w:color="auto"/>
              <w:left w:val="single" w:sz="4" w:space="0" w:color="auto"/>
              <w:bottom w:val="single" w:sz="4" w:space="0" w:color="auto"/>
              <w:right w:val="single" w:sz="4" w:space="0" w:color="auto"/>
            </w:tcBorders>
            <w:hideMark/>
          </w:tcPr>
          <w:p w14:paraId="5DA1B57C"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Date</w:t>
            </w:r>
          </w:p>
        </w:tc>
      </w:tr>
      <w:tr w:rsidR="00E24FB2" w14:paraId="0CF9F1DE" w14:textId="77777777" w:rsidTr="00C942FB">
        <w:tc>
          <w:tcPr>
            <w:tcW w:w="2295" w:type="dxa"/>
            <w:tcBorders>
              <w:top w:val="single" w:sz="4" w:space="0" w:color="auto"/>
              <w:left w:val="single" w:sz="4" w:space="0" w:color="auto"/>
              <w:bottom w:val="single" w:sz="4" w:space="0" w:color="auto"/>
              <w:right w:val="single" w:sz="4" w:space="0" w:color="auto"/>
            </w:tcBorders>
          </w:tcPr>
          <w:p w14:paraId="133515BE"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899" w:type="dxa"/>
            <w:tcBorders>
              <w:top w:val="single" w:sz="4" w:space="0" w:color="auto"/>
              <w:left w:val="single" w:sz="4" w:space="0" w:color="auto"/>
              <w:bottom w:val="single" w:sz="4" w:space="0" w:color="auto"/>
              <w:right w:val="single" w:sz="4" w:space="0" w:color="auto"/>
            </w:tcBorders>
          </w:tcPr>
          <w:p w14:paraId="768FC8B3"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498" w:type="dxa"/>
            <w:tcBorders>
              <w:top w:val="single" w:sz="4" w:space="0" w:color="auto"/>
              <w:left w:val="single" w:sz="4" w:space="0" w:color="auto"/>
              <w:bottom w:val="single" w:sz="4" w:space="0" w:color="auto"/>
              <w:right w:val="single" w:sz="4" w:space="0" w:color="auto"/>
            </w:tcBorders>
          </w:tcPr>
          <w:p w14:paraId="05138174"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1324" w:type="dxa"/>
            <w:tcBorders>
              <w:top w:val="single" w:sz="4" w:space="0" w:color="auto"/>
              <w:left w:val="single" w:sz="4" w:space="0" w:color="auto"/>
              <w:bottom w:val="single" w:sz="4" w:space="0" w:color="auto"/>
              <w:right w:val="single" w:sz="4" w:space="0" w:color="auto"/>
            </w:tcBorders>
          </w:tcPr>
          <w:p w14:paraId="5859ED85"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r>
    </w:tbl>
    <w:p w14:paraId="6BC0905C" w14:textId="77777777" w:rsidR="00E24FB2" w:rsidRDefault="00E24FB2" w:rsidP="00E24FB2">
      <w:pPr>
        <w:autoSpaceDN w:val="0"/>
        <w:spacing w:after="0" w:line="240" w:lineRule="auto"/>
        <w:rPr>
          <w:rFonts w:ascii="Arial" w:eastAsia="Times New Roman" w:hAnsi="Arial" w:cs="Arial"/>
          <w:b/>
          <w:sz w:val="24"/>
          <w:szCs w:val="24"/>
          <w:lang w:eastAsia="en-GB"/>
        </w:rPr>
      </w:pPr>
    </w:p>
    <w:p w14:paraId="556F1AE6" w14:textId="77777777" w:rsidR="00E24FB2" w:rsidRDefault="00E24FB2" w:rsidP="00E24FB2">
      <w:pPr>
        <w:autoSpaceDN w:val="0"/>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Practitioner(s) and Activity Stages</w:t>
      </w:r>
    </w:p>
    <w:tbl>
      <w:tblPr>
        <w:tblW w:w="0" w:type="auto"/>
        <w:tblLook w:val="04A0" w:firstRow="1" w:lastRow="0" w:firstColumn="1" w:lastColumn="0" w:noHBand="0" w:noVBand="1"/>
      </w:tblPr>
      <w:tblGrid>
        <w:gridCol w:w="2308"/>
        <w:gridCol w:w="2868"/>
        <w:gridCol w:w="2510"/>
        <w:gridCol w:w="1330"/>
      </w:tblGrid>
      <w:tr w:rsidR="00E24FB2" w14:paraId="6592AB0A" w14:textId="77777777" w:rsidTr="00C942FB">
        <w:tc>
          <w:tcPr>
            <w:tcW w:w="2308" w:type="dxa"/>
            <w:tcBorders>
              <w:top w:val="single" w:sz="4" w:space="0" w:color="auto"/>
              <w:left w:val="single" w:sz="4" w:space="0" w:color="auto"/>
              <w:bottom w:val="single" w:sz="4" w:space="0" w:color="auto"/>
              <w:right w:val="single" w:sz="4" w:space="0" w:color="auto"/>
            </w:tcBorders>
            <w:hideMark/>
          </w:tcPr>
          <w:p w14:paraId="2267BE9A"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Name</w:t>
            </w:r>
          </w:p>
        </w:tc>
        <w:tc>
          <w:tcPr>
            <w:tcW w:w="2868" w:type="dxa"/>
            <w:tcBorders>
              <w:top w:val="single" w:sz="4" w:space="0" w:color="auto"/>
              <w:left w:val="single" w:sz="4" w:space="0" w:color="auto"/>
              <w:bottom w:val="single" w:sz="4" w:space="0" w:color="auto"/>
              <w:right w:val="single" w:sz="4" w:space="0" w:color="auto"/>
            </w:tcBorders>
            <w:hideMark/>
          </w:tcPr>
          <w:p w14:paraId="0107D3A5"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Activity Stage(s)</w:t>
            </w:r>
          </w:p>
        </w:tc>
        <w:tc>
          <w:tcPr>
            <w:tcW w:w="2510" w:type="dxa"/>
            <w:tcBorders>
              <w:top w:val="single" w:sz="4" w:space="0" w:color="auto"/>
              <w:left w:val="single" w:sz="4" w:space="0" w:color="auto"/>
              <w:bottom w:val="single" w:sz="4" w:space="0" w:color="auto"/>
              <w:right w:val="single" w:sz="4" w:space="0" w:color="auto"/>
            </w:tcBorders>
            <w:hideMark/>
          </w:tcPr>
          <w:p w14:paraId="244F0F2D"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Signature</w:t>
            </w:r>
          </w:p>
        </w:tc>
        <w:tc>
          <w:tcPr>
            <w:tcW w:w="1330" w:type="dxa"/>
            <w:tcBorders>
              <w:top w:val="single" w:sz="4" w:space="0" w:color="auto"/>
              <w:left w:val="single" w:sz="4" w:space="0" w:color="auto"/>
              <w:bottom w:val="single" w:sz="4" w:space="0" w:color="auto"/>
              <w:right w:val="single" w:sz="4" w:space="0" w:color="auto"/>
            </w:tcBorders>
            <w:hideMark/>
          </w:tcPr>
          <w:p w14:paraId="0805E79A"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r>
              <w:rPr>
                <w:rFonts w:ascii="Arial" w:eastAsia="Times New Roman" w:hAnsi="Arial" w:cs="Arial"/>
                <w:sz w:val="24"/>
                <w:szCs w:val="24"/>
              </w:rPr>
              <w:t>Date</w:t>
            </w:r>
          </w:p>
        </w:tc>
      </w:tr>
      <w:tr w:rsidR="00E24FB2" w14:paraId="359B8C9B" w14:textId="77777777" w:rsidTr="00C942FB">
        <w:tc>
          <w:tcPr>
            <w:tcW w:w="2308" w:type="dxa"/>
            <w:tcBorders>
              <w:top w:val="single" w:sz="4" w:space="0" w:color="auto"/>
              <w:left w:val="single" w:sz="4" w:space="0" w:color="auto"/>
              <w:bottom w:val="single" w:sz="4" w:space="0" w:color="auto"/>
              <w:right w:val="single" w:sz="4" w:space="0" w:color="auto"/>
            </w:tcBorders>
          </w:tcPr>
          <w:p w14:paraId="46B887A5"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868" w:type="dxa"/>
            <w:tcBorders>
              <w:top w:val="single" w:sz="4" w:space="0" w:color="auto"/>
              <w:left w:val="single" w:sz="4" w:space="0" w:color="auto"/>
              <w:bottom w:val="single" w:sz="4" w:space="0" w:color="auto"/>
              <w:right w:val="single" w:sz="4" w:space="0" w:color="auto"/>
            </w:tcBorders>
          </w:tcPr>
          <w:p w14:paraId="3038A167"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510" w:type="dxa"/>
            <w:tcBorders>
              <w:top w:val="single" w:sz="4" w:space="0" w:color="auto"/>
              <w:left w:val="single" w:sz="4" w:space="0" w:color="auto"/>
              <w:bottom w:val="single" w:sz="4" w:space="0" w:color="auto"/>
              <w:right w:val="single" w:sz="4" w:space="0" w:color="auto"/>
            </w:tcBorders>
          </w:tcPr>
          <w:p w14:paraId="0794CBCE"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1330" w:type="dxa"/>
            <w:tcBorders>
              <w:top w:val="single" w:sz="4" w:space="0" w:color="auto"/>
              <w:left w:val="single" w:sz="4" w:space="0" w:color="auto"/>
              <w:bottom w:val="single" w:sz="4" w:space="0" w:color="auto"/>
              <w:right w:val="single" w:sz="4" w:space="0" w:color="auto"/>
            </w:tcBorders>
          </w:tcPr>
          <w:p w14:paraId="725B5A13"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r>
      <w:tr w:rsidR="00E24FB2" w14:paraId="4E7BA280" w14:textId="77777777" w:rsidTr="00C942FB">
        <w:tc>
          <w:tcPr>
            <w:tcW w:w="2308" w:type="dxa"/>
            <w:tcBorders>
              <w:top w:val="single" w:sz="4" w:space="0" w:color="auto"/>
              <w:left w:val="single" w:sz="4" w:space="0" w:color="auto"/>
              <w:bottom w:val="single" w:sz="4" w:space="0" w:color="auto"/>
              <w:right w:val="single" w:sz="4" w:space="0" w:color="auto"/>
            </w:tcBorders>
          </w:tcPr>
          <w:p w14:paraId="2B6DD9F8"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868" w:type="dxa"/>
            <w:tcBorders>
              <w:top w:val="single" w:sz="4" w:space="0" w:color="auto"/>
              <w:left w:val="single" w:sz="4" w:space="0" w:color="auto"/>
              <w:bottom w:val="single" w:sz="4" w:space="0" w:color="auto"/>
              <w:right w:val="single" w:sz="4" w:space="0" w:color="auto"/>
            </w:tcBorders>
          </w:tcPr>
          <w:p w14:paraId="304FD9C2"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510" w:type="dxa"/>
            <w:tcBorders>
              <w:top w:val="single" w:sz="4" w:space="0" w:color="auto"/>
              <w:left w:val="single" w:sz="4" w:space="0" w:color="auto"/>
              <w:bottom w:val="single" w:sz="4" w:space="0" w:color="auto"/>
              <w:right w:val="single" w:sz="4" w:space="0" w:color="auto"/>
            </w:tcBorders>
          </w:tcPr>
          <w:p w14:paraId="0261B914"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1330" w:type="dxa"/>
            <w:tcBorders>
              <w:top w:val="single" w:sz="4" w:space="0" w:color="auto"/>
              <w:left w:val="single" w:sz="4" w:space="0" w:color="auto"/>
              <w:bottom w:val="single" w:sz="4" w:space="0" w:color="auto"/>
              <w:right w:val="single" w:sz="4" w:space="0" w:color="auto"/>
            </w:tcBorders>
          </w:tcPr>
          <w:p w14:paraId="7A05E052"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r>
      <w:tr w:rsidR="00E24FB2" w14:paraId="0A45E0BD" w14:textId="77777777" w:rsidTr="00C942FB">
        <w:tc>
          <w:tcPr>
            <w:tcW w:w="2308" w:type="dxa"/>
            <w:tcBorders>
              <w:top w:val="single" w:sz="4" w:space="0" w:color="auto"/>
              <w:left w:val="single" w:sz="4" w:space="0" w:color="auto"/>
              <w:bottom w:val="single" w:sz="4" w:space="0" w:color="auto"/>
              <w:right w:val="single" w:sz="4" w:space="0" w:color="auto"/>
            </w:tcBorders>
          </w:tcPr>
          <w:p w14:paraId="7815EAE1"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868" w:type="dxa"/>
            <w:tcBorders>
              <w:top w:val="single" w:sz="4" w:space="0" w:color="auto"/>
              <w:left w:val="single" w:sz="4" w:space="0" w:color="auto"/>
              <w:bottom w:val="single" w:sz="4" w:space="0" w:color="auto"/>
              <w:right w:val="single" w:sz="4" w:space="0" w:color="auto"/>
            </w:tcBorders>
          </w:tcPr>
          <w:p w14:paraId="7BE0A688"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2510" w:type="dxa"/>
            <w:tcBorders>
              <w:top w:val="single" w:sz="4" w:space="0" w:color="auto"/>
              <w:left w:val="single" w:sz="4" w:space="0" w:color="auto"/>
              <w:bottom w:val="single" w:sz="4" w:space="0" w:color="auto"/>
              <w:right w:val="single" w:sz="4" w:space="0" w:color="auto"/>
            </w:tcBorders>
          </w:tcPr>
          <w:p w14:paraId="7461A5B7"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c>
          <w:tcPr>
            <w:tcW w:w="1330" w:type="dxa"/>
            <w:tcBorders>
              <w:top w:val="single" w:sz="4" w:space="0" w:color="auto"/>
              <w:left w:val="single" w:sz="4" w:space="0" w:color="auto"/>
              <w:bottom w:val="single" w:sz="4" w:space="0" w:color="auto"/>
              <w:right w:val="single" w:sz="4" w:space="0" w:color="auto"/>
            </w:tcBorders>
          </w:tcPr>
          <w:p w14:paraId="611F567D" w14:textId="77777777" w:rsidR="00E24FB2" w:rsidRDefault="00E24FB2" w:rsidP="00C942FB">
            <w:pPr>
              <w:overflowPunct w:val="0"/>
              <w:autoSpaceDE w:val="0"/>
              <w:autoSpaceDN w:val="0"/>
              <w:adjustRightInd w:val="0"/>
              <w:spacing w:before="120" w:after="120" w:line="254" w:lineRule="auto"/>
              <w:rPr>
                <w:rFonts w:ascii="Arial" w:eastAsia="Times New Roman" w:hAnsi="Arial" w:cs="Arial"/>
                <w:sz w:val="24"/>
                <w:szCs w:val="24"/>
              </w:rPr>
            </w:pPr>
          </w:p>
        </w:tc>
      </w:tr>
    </w:tbl>
    <w:p w14:paraId="35CB78A5" w14:textId="77777777" w:rsidR="00E24FB2" w:rsidRDefault="00E24FB2" w:rsidP="00E24FB2">
      <w:pPr>
        <w:overflowPunct w:val="0"/>
        <w:autoSpaceDE w:val="0"/>
        <w:autoSpaceDN w:val="0"/>
        <w:adjustRightInd w:val="0"/>
        <w:spacing w:before="120" w:after="12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Note to Clinical Supervisor</w:t>
      </w:r>
    </w:p>
    <w:p w14:paraId="59E01E71" w14:textId="77777777" w:rsidR="00E24FB2" w:rsidRDefault="00E24FB2" w:rsidP="00E24FB2">
      <w:pPr>
        <w:autoSpaceDN w:val="0"/>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Score through unused rows in the list of practitioners to prevent practitioner additions post managerial authorisation.</w:t>
      </w:r>
    </w:p>
    <w:p w14:paraId="05FCC05A" w14:textId="77777777" w:rsidR="00E24FB2" w:rsidRPr="000D165F" w:rsidRDefault="00E24FB2" w:rsidP="00E24FB2">
      <w:pPr>
        <w:autoSpaceDN w:val="0"/>
        <w:spacing w:before="120"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This authorisation sheet should be retained to serve as a record of clinical supervision arrangements for those working under this Protocol.</w:t>
      </w:r>
    </w:p>
    <w:p w14:paraId="4C6BF45E" w14:textId="77777777" w:rsidR="00A100E0" w:rsidRPr="00CC79BD" w:rsidRDefault="00A100E0" w:rsidP="00E24FB2">
      <w:pPr>
        <w:overflowPunct w:val="0"/>
        <w:autoSpaceDE w:val="0"/>
        <w:autoSpaceDN w:val="0"/>
        <w:adjustRightInd w:val="0"/>
        <w:spacing w:after="0" w:line="240" w:lineRule="auto"/>
        <w:contextualSpacing/>
        <w:rPr>
          <w:rFonts w:ascii="Arial" w:hAnsi="Arial" w:cs="Arial"/>
          <w:sz w:val="24"/>
          <w:szCs w:val="24"/>
        </w:rPr>
      </w:pPr>
    </w:p>
    <w:sectPr w:rsidR="00A100E0" w:rsidRPr="00CC79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04080" w14:textId="77777777" w:rsidR="00D45846" w:rsidRDefault="00D45846" w:rsidP="009F5783">
      <w:pPr>
        <w:spacing w:after="0" w:line="240" w:lineRule="auto"/>
      </w:pPr>
      <w:r>
        <w:separator/>
      </w:r>
    </w:p>
  </w:endnote>
  <w:endnote w:type="continuationSeparator" w:id="0">
    <w:p w14:paraId="7B5648B5" w14:textId="77777777" w:rsidR="00D45846" w:rsidRDefault="00D45846" w:rsidP="009F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A9269" w14:textId="77777777" w:rsidR="00D45846" w:rsidRDefault="00D45846" w:rsidP="009F5783">
      <w:pPr>
        <w:spacing w:after="0" w:line="240" w:lineRule="auto"/>
      </w:pPr>
      <w:r>
        <w:separator/>
      </w:r>
    </w:p>
  </w:footnote>
  <w:footnote w:type="continuationSeparator" w:id="0">
    <w:p w14:paraId="64E0D7D0" w14:textId="77777777" w:rsidR="00D45846" w:rsidRDefault="00D45846" w:rsidP="009F5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7C7"/>
    <w:multiLevelType w:val="hybridMultilevel"/>
    <w:tmpl w:val="8D905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A2E88"/>
    <w:multiLevelType w:val="hybridMultilevel"/>
    <w:tmpl w:val="BA06E78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051365"/>
    <w:multiLevelType w:val="hybridMultilevel"/>
    <w:tmpl w:val="F5AE9968"/>
    <w:lvl w:ilvl="0" w:tplc="0809000F">
      <w:start w:val="1"/>
      <w:numFmt w:val="decimal"/>
      <w:lvlText w:val="%1."/>
      <w:lvlJc w:val="left"/>
      <w:pPr>
        <w:ind w:left="363" w:hanging="360"/>
      </w:pPr>
    </w:lvl>
    <w:lvl w:ilvl="1" w:tplc="08090019">
      <w:start w:val="1"/>
      <w:numFmt w:val="lowerLetter"/>
      <w:lvlText w:val="%2."/>
      <w:lvlJc w:val="left"/>
      <w:pPr>
        <w:ind w:left="1083" w:hanging="360"/>
      </w:pPr>
    </w:lvl>
    <w:lvl w:ilvl="2" w:tplc="0809001B">
      <w:start w:val="1"/>
      <w:numFmt w:val="lowerRoman"/>
      <w:lvlText w:val="%3."/>
      <w:lvlJc w:val="right"/>
      <w:pPr>
        <w:ind w:left="1803" w:hanging="180"/>
      </w:pPr>
    </w:lvl>
    <w:lvl w:ilvl="3" w:tplc="0809000F">
      <w:start w:val="1"/>
      <w:numFmt w:val="decimal"/>
      <w:lvlText w:val="%4."/>
      <w:lvlJc w:val="left"/>
      <w:pPr>
        <w:ind w:left="2523" w:hanging="360"/>
      </w:pPr>
    </w:lvl>
    <w:lvl w:ilvl="4" w:tplc="08090019">
      <w:start w:val="1"/>
      <w:numFmt w:val="lowerLetter"/>
      <w:lvlText w:val="%5."/>
      <w:lvlJc w:val="left"/>
      <w:pPr>
        <w:ind w:left="3243" w:hanging="360"/>
      </w:pPr>
    </w:lvl>
    <w:lvl w:ilvl="5" w:tplc="0809001B">
      <w:start w:val="1"/>
      <w:numFmt w:val="lowerRoman"/>
      <w:lvlText w:val="%6."/>
      <w:lvlJc w:val="right"/>
      <w:pPr>
        <w:ind w:left="3963" w:hanging="180"/>
      </w:pPr>
    </w:lvl>
    <w:lvl w:ilvl="6" w:tplc="0809000F">
      <w:start w:val="1"/>
      <w:numFmt w:val="decimal"/>
      <w:lvlText w:val="%7."/>
      <w:lvlJc w:val="left"/>
      <w:pPr>
        <w:ind w:left="4683" w:hanging="360"/>
      </w:pPr>
    </w:lvl>
    <w:lvl w:ilvl="7" w:tplc="08090019">
      <w:start w:val="1"/>
      <w:numFmt w:val="lowerLetter"/>
      <w:lvlText w:val="%8."/>
      <w:lvlJc w:val="left"/>
      <w:pPr>
        <w:ind w:left="5403" w:hanging="360"/>
      </w:pPr>
    </w:lvl>
    <w:lvl w:ilvl="8" w:tplc="0809001B">
      <w:start w:val="1"/>
      <w:numFmt w:val="lowerRoman"/>
      <w:lvlText w:val="%9."/>
      <w:lvlJc w:val="right"/>
      <w:pPr>
        <w:ind w:left="6123" w:hanging="180"/>
      </w:pPr>
    </w:lvl>
  </w:abstractNum>
  <w:abstractNum w:abstractNumId="5" w15:restartNumberingAfterBreak="0">
    <w:nsid w:val="24616202"/>
    <w:multiLevelType w:val="hybridMultilevel"/>
    <w:tmpl w:val="89A8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86727"/>
    <w:multiLevelType w:val="hybridMultilevel"/>
    <w:tmpl w:val="4C5822AA"/>
    <w:lvl w:ilvl="0" w:tplc="7B34FE06">
      <w:start w:val="1"/>
      <w:numFmt w:val="bullet"/>
      <w:pStyle w:val="Tablebullet1"/>
      <w:lvlText w:val=""/>
      <w:lvlJc w:val="left"/>
      <w:pPr>
        <w:ind w:left="720" w:hanging="360"/>
      </w:pPr>
      <w:rPr>
        <w:rFonts w:ascii="Symbol" w:hAnsi="Symbol" w:hint="default"/>
      </w:rPr>
    </w:lvl>
    <w:lvl w:ilvl="1" w:tplc="5A18AD58">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E93D40"/>
    <w:multiLevelType w:val="hybridMultilevel"/>
    <w:tmpl w:val="FBB61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3B2F56"/>
    <w:multiLevelType w:val="hybridMultilevel"/>
    <w:tmpl w:val="4AC0F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893819"/>
    <w:multiLevelType w:val="hybridMultilevel"/>
    <w:tmpl w:val="A67A376A"/>
    <w:lvl w:ilvl="0" w:tplc="0809000F">
      <w:start w:val="7"/>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FE031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377C4A"/>
    <w:multiLevelType w:val="hybridMultilevel"/>
    <w:tmpl w:val="07627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851F1"/>
    <w:multiLevelType w:val="hybridMultilevel"/>
    <w:tmpl w:val="8D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A9659B"/>
    <w:multiLevelType w:val="hybridMultilevel"/>
    <w:tmpl w:val="C196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3185A"/>
    <w:multiLevelType w:val="hybridMultilevel"/>
    <w:tmpl w:val="DCB46E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start w:val="1"/>
      <w:numFmt w:val="bullet"/>
      <w:lvlText w:val="o"/>
      <w:lvlJc w:val="left"/>
      <w:pPr>
        <w:ind w:left="1758" w:hanging="360"/>
      </w:pPr>
      <w:rPr>
        <w:rFonts w:ascii="Courier New" w:hAnsi="Courier New" w:cs="Courier New" w:hint="default"/>
      </w:rPr>
    </w:lvl>
    <w:lvl w:ilvl="2" w:tplc="08090005">
      <w:start w:val="1"/>
      <w:numFmt w:val="bullet"/>
      <w:lvlText w:val=""/>
      <w:lvlJc w:val="left"/>
      <w:pPr>
        <w:ind w:left="2478" w:hanging="360"/>
      </w:pPr>
      <w:rPr>
        <w:rFonts w:ascii="Wingdings" w:hAnsi="Wingdings" w:hint="default"/>
      </w:rPr>
    </w:lvl>
    <w:lvl w:ilvl="3" w:tplc="08090001">
      <w:start w:val="1"/>
      <w:numFmt w:val="bullet"/>
      <w:lvlText w:val=""/>
      <w:lvlJc w:val="left"/>
      <w:pPr>
        <w:ind w:left="3198" w:hanging="360"/>
      </w:pPr>
      <w:rPr>
        <w:rFonts w:ascii="Symbol" w:hAnsi="Symbol" w:hint="default"/>
      </w:rPr>
    </w:lvl>
    <w:lvl w:ilvl="4" w:tplc="08090003">
      <w:start w:val="1"/>
      <w:numFmt w:val="bullet"/>
      <w:lvlText w:val="o"/>
      <w:lvlJc w:val="left"/>
      <w:pPr>
        <w:ind w:left="3918" w:hanging="360"/>
      </w:pPr>
      <w:rPr>
        <w:rFonts w:ascii="Courier New" w:hAnsi="Courier New" w:cs="Courier New" w:hint="default"/>
      </w:rPr>
    </w:lvl>
    <w:lvl w:ilvl="5" w:tplc="08090005">
      <w:start w:val="1"/>
      <w:numFmt w:val="bullet"/>
      <w:lvlText w:val=""/>
      <w:lvlJc w:val="left"/>
      <w:pPr>
        <w:ind w:left="4638" w:hanging="360"/>
      </w:pPr>
      <w:rPr>
        <w:rFonts w:ascii="Wingdings" w:hAnsi="Wingdings" w:hint="default"/>
      </w:rPr>
    </w:lvl>
    <w:lvl w:ilvl="6" w:tplc="08090001">
      <w:start w:val="1"/>
      <w:numFmt w:val="bullet"/>
      <w:lvlText w:val=""/>
      <w:lvlJc w:val="left"/>
      <w:pPr>
        <w:ind w:left="5358" w:hanging="360"/>
      </w:pPr>
      <w:rPr>
        <w:rFonts w:ascii="Symbol" w:hAnsi="Symbol" w:hint="default"/>
      </w:rPr>
    </w:lvl>
    <w:lvl w:ilvl="7" w:tplc="08090003">
      <w:start w:val="1"/>
      <w:numFmt w:val="bullet"/>
      <w:lvlText w:val="o"/>
      <w:lvlJc w:val="left"/>
      <w:pPr>
        <w:ind w:left="6078" w:hanging="360"/>
      </w:pPr>
      <w:rPr>
        <w:rFonts w:ascii="Courier New" w:hAnsi="Courier New" w:cs="Courier New" w:hint="default"/>
      </w:rPr>
    </w:lvl>
    <w:lvl w:ilvl="8" w:tplc="08090005">
      <w:start w:val="1"/>
      <w:numFmt w:val="bullet"/>
      <w:lvlText w:val=""/>
      <w:lvlJc w:val="left"/>
      <w:pPr>
        <w:ind w:left="6798" w:hanging="360"/>
      </w:pPr>
      <w:rPr>
        <w:rFonts w:ascii="Wingdings" w:hAnsi="Wingdings" w:hint="default"/>
      </w:rPr>
    </w:lvl>
  </w:abstractNum>
  <w:abstractNum w:abstractNumId="20" w15:restartNumberingAfterBreak="0">
    <w:nsid w:val="678C3162"/>
    <w:multiLevelType w:val="hybridMultilevel"/>
    <w:tmpl w:val="5546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51086"/>
    <w:multiLevelType w:val="hybridMultilevel"/>
    <w:tmpl w:val="08EE0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02003EA">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B3480"/>
    <w:multiLevelType w:val="hybridMultilevel"/>
    <w:tmpl w:val="9AFE735C"/>
    <w:lvl w:ilvl="0" w:tplc="08090019">
      <w:start w:val="1"/>
      <w:numFmt w:val="lowerLetter"/>
      <w:lvlText w:val="%1."/>
      <w:lvlJc w:val="left"/>
      <w:pPr>
        <w:ind w:left="699"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8542D"/>
    <w:multiLevelType w:val="hybridMultilevel"/>
    <w:tmpl w:val="41326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DAA8250">
      <w:numFmt w:val="bullet"/>
      <w:lvlText w:val="•"/>
      <w:lvlJc w:val="left"/>
      <w:pPr>
        <w:ind w:left="2520" w:hanging="72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4132E"/>
    <w:multiLevelType w:val="hybridMultilevel"/>
    <w:tmpl w:val="0FAA6C9C"/>
    <w:lvl w:ilvl="0" w:tplc="123E314C">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
  </w:num>
  <w:num w:numId="7">
    <w:abstractNumId w:val="8"/>
  </w:num>
  <w:num w:numId="8">
    <w:abstractNumId w:val="24"/>
  </w:num>
  <w:num w:numId="9">
    <w:abstractNumId w:val="19"/>
  </w:num>
  <w:num w:numId="1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1"/>
  </w:num>
  <w:num w:numId="14">
    <w:abstractNumId w:val="12"/>
  </w:num>
  <w:num w:numId="15">
    <w:abstractNumId w:val="20"/>
  </w:num>
  <w:num w:numId="16">
    <w:abstractNumId w:val="14"/>
  </w:num>
  <w:num w:numId="17">
    <w:abstractNumId w:val="16"/>
  </w:num>
  <w:num w:numId="18">
    <w:abstractNumId w:val="22"/>
  </w:num>
  <w:num w:numId="19">
    <w:abstractNumId w:val="7"/>
  </w:num>
  <w:num w:numId="20">
    <w:abstractNumId w:val="21"/>
  </w:num>
  <w:num w:numId="21">
    <w:abstractNumId w:val="15"/>
  </w:num>
  <w:num w:numId="22">
    <w:abstractNumId w:val="0"/>
  </w:num>
  <w:num w:numId="23">
    <w:abstractNumId w:val="6"/>
  </w:num>
  <w:num w:numId="24">
    <w:abstractNumId w:val="9"/>
  </w:num>
  <w:num w:numId="25">
    <w:abstractNumId w:val="23"/>
  </w:num>
  <w:num w:numId="26">
    <w:abstractNumId w:val="10"/>
  </w:num>
  <w:num w:numId="27">
    <w:abstractNumId w:val="6"/>
  </w:num>
  <w:num w:numId="28">
    <w:abstractNumId w:val="9"/>
  </w:num>
  <w:num w:numId="29">
    <w:abstractNumId w:val="10"/>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83"/>
    <w:rsid w:val="00032D04"/>
    <w:rsid w:val="00046FDB"/>
    <w:rsid w:val="000847FC"/>
    <w:rsid w:val="000B4932"/>
    <w:rsid w:val="000B655B"/>
    <w:rsid w:val="000F012E"/>
    <w:rsid w:val="001415FB"/>
    <w:rsid w:val="001964C9"/>
    <w:rsid w:val="001C2CE1"/>
    <w:rsid w:val="002157B7"/>
    <w:rsid w:val="00217B7D"/>
    <w:rsid w:val="002370FA"/>
    <w:rsid w:val="002544FC"/>
    <w:rsid w:val="002631DB"/>
    <w:rsid w:val="00292BBB"/>
    <w:rsid w:val="002967AA"/>
    <w:rsid w:val="002B1BCC"/>
    <w:rsid w:val="002C1004"/>
    <w:rsid w:val="002C3BA9"/>
    <w:rsid w:val="002E10D7"/>
    <w:rsid w:val="002E6B85"/>
    <w:rsid w:val="00326CEB"/>
    <w:rsid w:val="00332D60"/>
    <w:rsid w:val="00367982"/>
    <w:rsid w:val="003B37C3"/>
    <w:rsid w:val="003F62D2"/>
    <w:rsid w:val="004464A4"/>
    <w:rsid w:val="0047742B"/>
    <w:rsid w:val="004A4EE4"/>
    <w:rsid w:val="004B4DDC"/>
    <w:rsid w:val="004E0931"/>
    <w:rsid w:val="004E0C61"/>
    <w:rsid w:val="004E54FE"/>
    <w:rsid w:val="004F3F4F"/>
    <w:rsid w:val="004F74EB"/>
    <w:rsid w:val="00520926"/>
    <w:rsid w:val="00520B35"/>
    <w:rsid w:val="0056268A"/>
    <w:rsid w:val="00572127"/>
    <w:rsid w:val="005A1DB5"/>
    <w:rsid w:val="005A5EE0"/>
    <w:rsid w:val="005E14F0"/>
    <w:rsid w:val="005F6F79"/>
    <w:rsid w:val="00602F78"/>
    <w:rsid w:val="00625089"/>
    <w:rsid w:val="00646373"/>
    <w:rsid w:val="00666B75"/>
    <w:rsid w:val="0068362B"/>
    <w:rsid w:val="00683E25"/>
    <w:rsid w:val="00694E44"/>
    <w:rsid w:val="006C0601"/>
    <w:rsid w:val="00707DE8"/>
    <w:rsid w:val="00740890"/>
    <w:rsid w:val="00766D14"/>
    <w:rsid w:val="00770EAE"/>
    <w:rsid w:val="00774126"/>
    <w:rsid w:val="007D7ED2"/>
    <w:rsid w:val="00807D1D"/>
    <w:rsid w:val="00816E4F"/>
    <w:rsid w:val="00825ED9"/>
    <w:rsid w:val="008A0510"/>
    <w:rsid w:val="008A680F"/>
    <w:rsid w:val="008D24C8"/>
    <w:rsid w:val="00915516"/>
    <w:rsid w:val="00960F34"/>
    <w:rsid w:val="0099035D"/>
    <w:rsid w:val="009A3530"/>
    <w:rsid w:val="009A45B4"/>
    <w:rsid w:val="009F5783"/>
    <w:rsid w:val="00A0187E"/>
    <w:rsid w:val="00A100E0"/>
    <w:rsid w:val="00A13517"/>
    <w:rsid w:val="00A2054C"/>
    <w:rsid w:val="00A33B5F"/>
    <w:rsid w:val="00A57C73"/>
    <w:rsid w:val="00A64DAB"/>
    <w:rsid w:val="00A9657F"/>
    <w:rsid w:val="00AA6C46"/>
    <w:rsid w:val="00AC0899"/>
    <w:rsid w:val="00AD37A3"/>
    <w:rsid w:val="00AD7D4F"/>
    <w:rsid w:val="00AF22D8"/>
    <w:rsid w:val="00B067D0"/>
    <w:rsid w:val="00B23DBF"/>
    <w:rsid w:val="00B43E2E"/>
    <w:rsid w:val="00B73450"/>
    <w:rsid w:val="00BD46D6"/>
    <w:rsid w:val="00BE25C4"/>
    <w:rsid w:val="00BF58DB"/>
    <w:rsid w:val="00C53C87"/>
    <w:rsid w:val="00CA0F1C"/>
    <w:rsid w:val="00CC4F1B"/>
    <w:rsid w:val="00CC79BD"/>
    <w:rsid w:val="00CF61B5"/>
    <w:rsid w:val="00D23D5D"/>
    <w:rsid w:val="00D3532F"/>
    <w:rsid w:val="00D44228"/>
    <w:rsid w:val="00D45846"/>
    <w:rsid w:val="00D62B74"/>
    <w:rsid w:val="00D7243D"/>
    <w:rsid w:val="00D920F1"/>
    <w:rsid w:val="00D97B19"/>
    <w:rsid w:val="00DA24AE"/>
    <w:rsid w:val="00DB606D"/>
    <w:rsid w:val="00DC40C1"/>
    <w:rsid w:val="00DF1838"/>
    <w:rsid w:val="00E0779C"/>
    <w:rsid w:val="00E1441D"/>
    <w:rsid w:val="00E24FB2"/>
    <w:rsid w:val="00E27718"/>
    <w:rsid w:val="00E34CC3"/>
    <w:rsid w:val="00E55CC6"/>
    <w:rsid w:val="00E62A58"/>
    <w:rsid w:val="00E7412E"/>
    <w:rsid w:val="00E83D85"/>
    <w:rsid w:val="00E8511B"/>
    <w:rsid w:val="00ED230D"/>
    <w:rsid w:val="00EF2653"/>
    <w:rsid w:val="00F45605"/>
    <w:rsid w:val="00F76D6F"/>
    <w:rsid w:val="00FC433D"/>
    <w:rsid w:val="00FD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415F"/>
  <w15:chartTrackingRefBased/>
  <w15:docId w15:val="{D8BF6E7A-2AC8-472F-AFBE-C0C9562E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2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783"/>
    <w:rPr>
      <w:color w:val="0000FF"/>
      <w:u w:val="single"/>
    </w:rPr>
  </w:style>
  <w:style w:type="paragraph" w:styleId="CommentText">
    <w:name w:val="annotation text"/>
    <w:basedOn w:val="Normal"/>
    <w:link w:val="CommentTextChar"/>
    <w:uiPriority w:val="99"/>
    <w:unhideWhenUsed/>
    <w:rsid w:val="009F5783"/>
    <w:pPr>
      <w:overflowPunct w:val="0"/>
      <w:autoSpaceDE w:val="0"/>
      <w:autoSpaceDN w:val="0"/>
      <w:adjustRightInd w:val="0"/>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9F5783"/>
    <w:rPr>
      <w:rFonts w:ascii="Arial" w:eastAsia="Times New Roman" w:hAnsi="Arial" w:cs="Times New Roman"/>
      <w:sz w:val="20"/>
      <w:szCs w:val="20"/>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F5783"/>
    <w:rPr>
      <w:rFonts w:ascii="Arial" w:eastAsia="Times New Roman" w:hAnsi="Arial" w:cs="Times New Roman"/>
      <w:sz w:val="24"/>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9F5783"/>
    <w:pPr>
      <w:overflowPunct w:val="0"/>
      <w:autoSpaceDE w:val="0"/>
      <w:autoSpaceDN w:val="0"/>
      <w:adjustRightInd w:val="0"/>
      <w:spacing w:after="0" w:line="240" w:lineRule="auto"/>
      <w:ind w:left="720"/>
      <w:contextualSpacing/>
    </w:pPr>
    <w:rPr>
      <w:rFonts w:ascii="Arial" w:eastAsia="Times New Roman" w:hAnsi="Arial" w:cs="Times New Roman"/>
      <w:sz w:val="24"/>
      <w:szCs w:val="20"/>
      <w:lang w:eastAsia="en-GB"/>
    </w:rPr>
  </w:style>
  <w:style w:type="paragraph" w:customStyle="1" w:styleId="legclearfix">
    <w:name w:val="legclearfix"/>
    <w:basedOn w:val="Normal"/>
    <w:uiPriority w:val="99"/>
    <w:rsid w:val="009F5783"/>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uiPriority w:val="99"/>
    <w:rsid w:val="009F5783"/>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styleId="FootnoteReference">
    <w:name w:val="footnote reference"/>
    <w:basedOn w:val="DefaultParagraphFont"/>
    <w:uiPriority w:val="99"/>
    <w:semiHidden/>
    <w:unhideWhenUsed/>
    <w:rsid w:val="009F5783"/>
    <w:rPr>
      <w:vertAlign w:val="superscript"/>
    </w:rPr>
  </w:style>
  <w:style w:type="character" w:styleId="CommentReference">
    <w:name w:val="annotation reference"/>
    <w:basedOn w:val="DefaultParagraphFont"/>
    <w:uiPriority w:val="99"/>
    <w:semiHidden/>
    <w:unhideWhenUsed/>
    <w:rsid w:val="009F5783"/>
    <w:rPr>
      <w:sz w:val="16"/>
      <w:szCs w:val="16"/>
    </w:rPr>
  </w:style>
  <w:style w:type="character" w:customStyle="1" w:styleId="legamendquote">
    <w:name w:val="legamendquote"/>
    <w:basedOn w:val="DefaultParagraphFont"/>
    <w:rsid w:val="009F5783"/>
  </w:style>
  <w:style w:type="character" w:customStyle="1" w:styleId="legamendingtext">
    <w:name w:val="legamendingtext"/>
    <w:basedOn w:val="DefaultParagraphFont"/>
    <w:rsid w:val="009F5783"/>
  </w:style>
  <w:style w:type="table" w:styleId="TableGrid">
    <w:name w:val="Table Grid"/>
    <w:basedOn w:val="TableNormal"/>
    <w:uiPriority w:val="59"/>
    <w:rsid w:val="009F5783"/>
    <w:pPr>
      <w:spacing w:after="0" w:line="240" w:lineRule="auto"/>
      <w:jc w:val="center"/>
    </w:pPr>
    <w:rPr>
      <w:rFonts w:ascii="Arial" w:eastAsia="Calibri" w:hAnsi="Arial"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5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7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31DB"/>
    <w:pPr>
      <w:overflowPunct/>
      <w:autoSpaceDE/>
      <w:autoSpaceDN/>
      <w:adjustRightInd/>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631DB"/>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8D24C8"/>
    <w:rPr>
      <w:rFonts w:ascii="Times New Roman" w:eastAsia="Times New Roman" w:hAnsi="Times New Roman" w:cs="Times New Roman"/>
      <w:b/>
      <w:bCs/>
      <w:kern w:val="36"/>
      <w:sz w:val="48"/>
      <w:szCs w:val="48"/>
      <w:lang w:eastAsia="en-GB"/>
    </w:rPr>
  </w:style>
  <w:style w:type="paragraph" w:customStyle="1" w:styleId="gem-c-lead-paragraph">
    <w:name w:val="gem-c-lead-paragraph"/>
    <w:basedOn w:val="Normal"/>
    <w:rsid w:val="008D24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26CEB"/>
    <w:pPr>
      <w:spacing w:after="0" w:line="240" w:lineRule="auto"/>
    </w:pPr>
  </w:style>
  <w:style w:type="character" w:customStyle="1" w:styleId="normaltextrun">
    <w:name w:val="normaltextrun"/>
    <w:basedOn w:val="DefaultParagraphFont"/>
    <w:rsid w:val="00326CEB"/>
  </w:style>
  <w:style w:type="character" w:customStyle="1" w:styleId="Hyperlink0">
    <w:name w:val="Hyperlink.0"/>
    <w:basedOn w:val="Hyperlink"/>
    <w:rsid w:val="00326CEB"/>
    <w:rPr>
      <w:outline w:val="0"/>
      <w:color w:val="0563C1"/>
      <w:u w:val="single" w:color="0563C1"/>
    </w:rPr>
  </w:style>
  <w:style w:type="character" w:styleId="FollowedHyperlink">
    <w:name w:val="FollowedHyperlink"/>
    <w:basedOn w:val="DefaultParagraphFont"/>
    <w:uiPriority w:val="99"/>
    <w:semiHidden/>
    <w:unhideWhenUsed/>
    <w:rsid w:val="00326CEB"/>
    <w:rPr>
      <w:color w:val="800080" w:themeColor="followedHyperlink"/>
      <w:u w:val="single"/>
    </w:rPr>
  </w:style>
  <w:style w:type="paragraph" w:styleId="Header">
    <w:name w:val="header"/>
    <w:basedOn w:val="Normal"/>
    <w:link w:val="HeaderChar"/>
    <w:uiPriority w:val="99"/>
    <w:rsid w:val="00E1441D"/>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uiPriority w:val="99"/>
    <w:rsid w:val="00E1441D"/>
    <w:rPr>
      <w:rFonts w:ascii="Times New Roman" w:eastAsia="Times New Roman" w:hAnsi="Times New Roman" w:cs="Times New Roman"/>
      <w:sz w:val="24"/>
      <w:szCs w:val="20"/>
      <w:lang w:eastAsia="en-GB"/>
    </w:rPr>
  </w:style>
  <w:style w:type="character" w:customStyle="1" w:styleId="yiv436687422763514114-05042013">
    <w:name w:val="yiv436687422763514114-05042013"/>
    <w:basedOn w:val="DefaultParagraphFont"/>
    <w:rsid w:val="00E1441D"/>
  </w:style>
  <w:style w:type="character" w:customStyle="1" w:styleId="TableBodyChar">
    <w:name w:val="Table Body Char"/>
    <w:basedOn w:val="DefaultParagraphFont"/>
    <w:link w:val="TableBody"/>
    <w:locked/>
    <w:rsid w:val="00D920F1"/>
    <w:rPr>
      <w:rFonts w:ascii="Arial" w:hAnsi="Arial" w:cs="Arial"/>
      <w:color w:val="262626" w:themeColor="text1" w:themeTint="D9"/>
    </w:rPr>
  </w:style>
  <w:style w:type="paragraph" w:customStyle="1" w:styleId="TableBody">
    <w:name w:val="Table Body"/>
    <w:basedOn w:val="Normal"/>
    <w:link w:val="TableBodyChar"/>
    <w:qFormat/>
    <w:rsid w:val="00D920F1"/>
    <w:pPr>
      <w:spacing w:before="140" w:after="140" w:line="288" w:lineRule="auto"/>
    </w:pPr>
    <w:rPr>
      <w:rFonts w:ascii="Arial" w:hAnsi="Arial" w:cs="Arial"/>
      <w:color w:val="262626" w:themeColor="text1" w:themeTint="D9"/>
    </w:rPr>
  </w:style>
  <w:style w:type="paragraph" w:customStyle="1" w:styleId="Tablebullet1">
    <w:name w:val="Table bullet 1"/>
    <w:basedOn w:val="TableBody"/>
    <w:qFormat/>
    <w:rsid w:val="00D920F1"/>
    <w:pPr>
      <w:numPr>
        <w:numId w:val="23"/>
      </w:numPr>
      <w:tabs>
        <w:tab w:val="num" w:pos="360"/>
      </w:tabs>
      <w:ind w:left="454" w:hanging="227"/>
    </w:pPr>
  </w:style>
  <w:style w:type="paragraph" w:customStyle="1" w:styleId="Tablebullet2">
    <w:name w:val="Table bullet 2"/>
    <w:basedOn w:val="Tablebullet1"/>
    <w:qFormat/>
    <w:rsid w:val="00D920F1"/>
    <w:pPr>
      <w:numPr>
        <w:ilvl w:val="1"/>
      </w:numPr>
      <w:tabs>
        <w:tab w:val="num" w:pos="360"/>
      </w:tabs>
      <w:ind w:left="681" w:hanging="227"/>
    </w:pPr>
  </w:style>
  <w:style w:type="character" w:customStyle="1" w:styleId="TableHeadChar">
    <w:name w:val="Table Head Char"/>
    <w:basedOn w:val="DefaultParagraphFont"/>
    <w:link w:val="TableHead"/>
    <w:locked/>
    <w:rsid w:val="00E34CC3"/>
    <w:rPr>
      <w:rFonts w:ascii="Arial" w:hAnsi="Arial" w:cs="Arial"/>
      <w:b/>
      <w:color w:val="FFFFFF" w:themeColor="background1"/>
    </w:rPr>
  </w:style>
  <w:style w:type="paragraph" w:customStyle="1" w:styleId="TableHead">
    <w:name w:val="Table Head"/>
    <w:basedOn w:val="Normal"/>
    <w:link w:val="TableHeadChar"/>
    <w:qFormat/>
    <w:rsid w:val="00E34CC3"/>
    <w:pPr>
      <w:spacing w:after="0" w:line="288" w:lineRule="auto"/>
      <w:jc w:val="center"/>
    </w:pPr>
    <w:rPr>
      <w:rFonts w:ascii="Arial" w:hAnsi="Arial" w:cs="Arial"/>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8682">
      <w:bodyDiv w:val="1"/>
      <w:marLeft w:val="0"/>
      <w:marRight w:val="0"/>
      <w:marTop w:val="0"/>
      <w:marBottom w:val="0"/>
      <w:divBdr>
        <w:top w:val="none" w:sz="0" w:space="0" w:color="auto"/>
        <w:left w:val="none" w:sz="0" w:space="0" w:color="auto"/>
        <w:bottom w:val="none" w:sz="0" w:space="0" w:color="auto"/>
        <w:right w:val="none" w:sz="0" w:space="0" w:color="auto"/>
      </w:divBdr>
    </w:div>
    <w:div w:id="94908433">
      <w:bodyDiv w:val="1"/>
      <w:marLeft w:val="0"/>
      <w:marRight w:val="0"/>
      <w:marTop w:val="0"/>
      <w:marBottom w:val="0"/>
      <w:divBdr>
        <w:top w:val="none" w:sz="0" w:space="0" w:color="auto"/>
        <w:left w:val="none" w:sz="0" w:space="0" w:color="auto"/>
        <w:bottom w:val="none" w:sz="0" w:space="0" w:color="auto"/>
        <w:right w:val="none" w:sz="0" w:space="0" w:color="auto"/>
      </w:divBdr>
    </w:div>
    <w:div w:id="180970815">
      <w:bodyDiv w:val="1"/>
      <w:marLeft w:val="0"/>
      <w:marRight w:val="0"/>
      <w:marTop w:val="0"/>
      <w:marBottom w:val="0"/>
      <w:divBdr>
        <w:top w:val="none" w:sz="0" w:space="0" w:color="auto"/>
        <w:left w:val="none" w:sz="0" w:space="0" w:color="auto"/>
        <w:bottom w:val="none" w:sz="0" w:space="0" w:color="auto"/>
        <w:right w:val="none" w:sz="0" w:space="0" w:color="auto"/>
      </w:divBdr>
    </w:div>
    <w:div w:id="202207636">
      <w:bodyDiv w:val="1"/>
      <w:marLeft w:val="0"/>
      <w:marRight w:val="0"/>
      <w:marTop w:val="0"/>
      <w:marBottom w:val="0"/>
      <w:divBdr>
        <w:top w:val="none" w:sz="0" w:space="0" w:color="auto"/>
        <w:left w:val="none" w:sz="0" w:space="0" w:color="auto"/>
        <w:bottom w:val="none" w:sz="0" w:space="0" w:color="auto"/>
        <w:right w:val="none" w:sz="0" w:space="0" w:color="auto"/>
      </w:divBdr>
    </w:div>
    <w:div w:id="313796776">
      <w:bodyDiv w:val="1"/>
      <w:marLeft w:val="0"/>
      <w:marRight w:val="0"/>
      <w:marTop w:val="0"/>
      <w:marBottom w:val="0"/>
      <w:divBdr>
        <w:top w:val="none" w:sz="0" w:space="0" w:color="auto"/>
        <w:left w:val="none" w:sz="0" w:space="0" w:color="auto"/>
        <w:bottom w:val="none" w:sz="0" w:space="0" w:color="auto"/>
        <w:right w:val="none" w:sz="0" w:space="0" w:color="auto"/>
      </w:divBdr>
    </w:div>
    <w:div w:id="406193034">
      <w:bodyDiv w:val="1"/>
      <w:marLeft w:val="0"/>
      <w:marRight w:val="0"/>
      <w:marTop w:val="0"/>
      <w:marBottom w:val="0"/>
      <w:divBdr>
        <w:top w:val="none" w:sz="0" w:space="0" w:color="auto"/>
        <w:left w:val="none" w:sz="0" w:space="0" w:color="auto"/>
        <w:bottom w:val="none" w:sz="0" w:space="0" w:color="auto"/>
        <w:right w:val="none" w:sz="0" w:space="0" w:color="auto"/>
      </w:divBdr>
    </w:div>
    <w:div w:id="448090102">
      <w:bodyDiv w:val="1"/>
      <w:marLeft w:val="0"/>
      <w:marRight w:val="0"/>
      <w:marTop w:val="0"/>
      <w:marBottom w:val="0"/>
      <w:divBdr>
        <w:top w:val="none" w:sz="0" w:space="0" w:color="auto"/>
        <w:left w:val="none" w:sz="0" w:space="0" w:color="auto"/>
        <w:bottom w:val="none" w:sz="0" w:space="0" w:color="auto"/>
        <w:right w:val="none" w:sz="0" w:space="0" w:color="auto"/>
      </w:divBdr>
    </w:div>
    <w:div w:id="723991470">
      <w:bodyDiv w:val="1"/>
      <w:marLeft w:val="0"/>
      <w:marRight w:val="0"/>
      <w:marTop w:val="0"/>
      <w:marBottom w:val="0"/>
      <w:divBdr>
        <w:top w:val="none" w:sz="0" w:space="0" w:color="auto"/>
        <w:left w:val="none" w:sz="0" w:space="0" w:color="auto"/>
        <w:bottom w:val="none" w:sz="0" w:space="0" w:color="auto"/>
        <w:right w:val="none" w:sz="0" w:space="0" w:color="auto"/>
      </w:divBdr>
    </w:div>
    <w:div w:id="811870235">
      <w:bodyDiv w:val="1"/>
      <w:marLeft w:val="0"/>
      <w:marRight w:val="0"/>
      <w:marTop w:val="0"/>
      <w:marBottom w:val="0"/>
      <w:divBdr>
        <w:top w:val="none" w:sz="0" w:space="0" w:color="auto"/>
        <w:left w:val="none" w:sz="0" w:space="0" w:color="auto"/>
        <w:bottom w:val="none" w:sz="0" w:space="0" w:color="auto"/>
        <w:right w:val="none" w:sz="0" w:space="0" w:color="auto"/>
      </w:divBdr>
    </w:div>
    <w:div w:id="978681515">
      <w:bodyDiv w:val="1"/>
      <w:marLeft w:val="0"/>
      <w:marRight w:val="0"/>
      <w:marTop w:val="0"/>
      <w:marBottom w:val="0"/>
      <w:divBdr>
        <w:top w:val="none" w:sz="0" w:space="0" w:color="auto"/>
        <w:left w:val="none" w:sz="0" w:space="0" w:color="auto"/>
        <w:bottom w:val="none" w:sz="0" w:space="0" w:color="auto"/>
        <w:right w:val="none" w:sz="0" w:space="0" w:color="auto"/>
      </w:divBdr>
      <w:divsChild>
        <w:div w:id="2103795933">
          <w:marLeft w:val="0"/>
          <w:marRight w:val="0"/>
          <w:marTop w:val="0"/>
          <w:marBottom w:val="0"/>
          <w:divBdr>
            <w:top w:val="none" w:sz="0" w:space="0" w:color="auto"/>
            <w:left w:val="none" w:sz="0" w:space="0" w:color="auto"/>
            <w:bottom w:val="none" w:sz="0" w:space="0" w:color="auto"/>
            <w:right w:val="none" w:sz="0" w:space="0" w:color="auto"/>
          </w:divBdr>
          <w:divsChild>
            <w:div w:id="141971648">
              <w:marLeft w:val="0"/>
              <w:marRight w:val="0"/>
              <w:marTop w:val="0"/>
              <w:marBottom w:val="0"/>
              <w:divBdr>
                <w:top w:val="none" w:sz="0" w:space="0" w:color="auto"/>
                <w:left w:val="none" w:sz="0" w:space="0" w:color="auto"/>
                <w:bottom w:val="none" w:sz="0" w:space="0" w:color="auto"/>
                <w:right w:val="none" w:sz="0" w:space="0" w:color="auto"/>
              </w:divBdr>
            </w:div>
          </w:divsChild>
        </w:div>
        <w:div w:id="273247308">
          <w:marLeft w:val="0"/>
          <w:marRight w:val="0"/>
          <w:marTop w:val="0"/>
          <w:marBottom w:val="0"/>
          <w:divBdr>
            <w:top w:val="none" w:sz="0" w:space="0" w:color="auto"/>
            <w:left w:val="none" w:sz="0" w:space="0" w:color="auto"/>
            <w:bottom w:val="none" w:sz="0" w:space="0" w:color="auto"/>
            <w:right w:val="none" w:sz="0" w:space="0" w:color="auto"/>
          </w:divBdr>
        </w:div>
      </w:divsChild>
    </w:div>
    <w:div w:id="1065495318">
      <w:bodyDiv w:val="1"/>
      <w:marLeft w:val="0"/>
      <w:marRight w:val="0"/>
      <w:marTop w:val="0"/>
      <w:marBottom w:val="0"/>
      <w:divBdr>
        <w:top w:val="none" w:sz="0" w:space="0" w:color="auto"/>
        <w:left w:val="none" w:sz="0" w:space="0" w:color="auto"/>
        <w:bottom w:val="none" w:sz="0" w:space="0" w:color="auto"/>
        <w:right w:val="none" w:sz="0" w:space="0" w:color="auto"/>
      </w:divBdr>
    </w:div>
    <w:div w:id="1295989068">
      <w:bodyDiv w:val="1"/>
      <w:marLeft w:val="0"/>
      <w:marRight w:val="0"/>
      <w:marTop w:val="0"/>
      <w:marBottom w:val="0"/>
      <w:divBdr>
        <w:top w:val="none" w:sz="0" w:space="0" w:color="auto"/>
        <w:left w:val="none" w:sz="0" w:space="0" w:color="auto"/>
        <w:bottom w:val="none" w:sz="0" w:space="0" w:color="auto"/>
        <w:right w:val="none" w:sz="0" w:space="0" w:color="auto"/>
      </w:divBdr>
    </w:div>
    <w:div w:id="1317764573">
      <w:bodyDiv w:val="1"/>
      <w:marLeft w:val="0"/>
      <w:marRight w:val="0"/>
      <w:marTop w:val="0"/>
      <w:marBottom w:val="0"/>
      <w:divBdr>
        <w:top w:val="none" w:sz="0" w:space="0" w:color="auto"/>
        <w:left w:val="none" w:sz="0" w:space="0" w:color="auto"/>
        <w:bottom w:val="none" w:sz="0" w:space="0" w:color="auto"/>
        <w:right w:val="none" w:sz="0" w:space="0" w:color="auto"/>
      </w:divBdr>
    </w:div>
    <w:div w:id="1654985047">
      <w:bodyDiv w:val="1"/>
      <w:marLeft w:val="0"/>
      <w:marRight w:val="0"/>
      <w:marTop w:val="0"/>
      <w:marBottom w:val="0"/>
      <w:divBdr>
        <w:top w:val="none" w:sz="0" w:space="0" w:color="auto"/>
        <w:left w:val="none" w:sz="0" w:space="0" w:color="auto"/>
        <w:bottom w:val="none" w:sz="0" w:space="0" w:color="auto"/>
        <w:right w:val="none" w:sz="0" w:space="0" w:color="auto"/>
      </w:divBdr>
    </w:div>
    <w:div w:id="1713845682">
      <w:bodyDiv w:val="1"/>
      <w:marLeft w:val="0"/>
      <w:marRight w:val="0"/>
      <w:marTop w:val="0"/>
      <w:marBottom w:val="0"/>
      <w:divBdr>
        <w:top w:val="none" w:sz="0" w:space="0" w:color="auto"/>
        <w:left w:val="none" w:sz="0" w:space="0" w:color="auto"/>
        <w:bottom w:val="none" w:sz="0" w:space="0" w:color="auto"/>
        <w:right w:val="none" w:sz="0" w:space="0" w:color="auto"/>
      </w:divBdr>
    </w:div>
    <w:div w:id="192217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uksi/2020/1125/regulation/14/made" TargetMode="External"/><Relationship Id="rId18" Type="http://schemas.openxmlformats.org/officeDocument/2006/relationships/hyperlink" Target="http://www.nipcm.hps.scot.nhs.uk/scottish-covid-19-infection-prevention-and-control-addendum-for-acute-settings/" TargetMode="External"/><Relationship Id="rId26" Type="http://schemas.openxmlformats.org/officeDocument/2006/relationships/hyperlink" Target="https://www.gov.uk/government/publications/covid-19-the-green-book-chapter-14a" TargetMode="External"/><Relationship Id="rId3" Type="http://schemas.openxmlformats.org/officeDocument/2006/relationships/numbering" Target="numbering.xml"/><Relationship Id="rId21" Type="http://schemas.openxmlformats.org/officeDocument/2006/relationships/hyperlink" Target="https://www.gov.scot/publications/covid-shielding/pages/highest-risk-classification/" TargetMode="External"/><Relationship Id="rId7" Type="http://schemas.openxmlformats.org/officeDocument/2006/relationships/footnotes" Target="footnotes.xml"/><Relationship Id="rId12" Type="http://schemas.openxmlformats.org/officeDocument/2006/relationships/hyperlink" Target="mailto:VaccinationsDelivery@gov.scot" TargetMode="External"/><Relationship Id="rId17" Type="http://schemas.openxmlformats.org/officeDocument/2006/relationships/hyperlink" Target="https://learn.nes.nhs.scot/37676/immunisation/covid-19-vaccines" TargetMode="External"/><Relationship Id="rId25" Type="http://schemas.openxmlformats.org/officeDocument/2006/relationships/hyperlink" Target="https://www.gov.uk/government/organisations/public-health-england/series/immunisation-against-infectious-disease-the-green-book" TargetMode="External"/><Relationship Id="rId2" Type="http://schemas.openxmlformats.org/officeDocument/2006/relationships/customXml" Target="../customXml/item2.xml"/><Relationship Id="rId16" Type="http://schemas.openxmlformats.org/officeDocument/2006/relationships/hyperlink" Target="https://www.legislation.gov.uk/uksi/2020/1125/regulation/14/made" TargetMode="External"/><Relationship Id="rId20" Type="http://schemas.openxmlformats.org/officeDocument/2006/relationships/hyperlink" Target="https://www.gov.uk/government/publications/covid-19-the-green-book-chapter-14a" TargetMode="External"/><Relationship Id="rId29" Type="http://schemas.openxmlformats.org/officeDocument/2006/relationships/hyperlink" Target="https://learn.nes.nhs.scot/37676/immunisation/covid-19-vaccin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si/2020/1125/contents/made" TargetMode="External"/><Relationship Id="rId24" Type="http://schemas.openxmlformats.org/officeDocument/2006/relationships/hyperlink" Target="https://coronavirus-yellowcard.mhra.gov.uk/" TargetMode="External"/><Relationship Id="rId5" Type="http://schemas.openxmlformats.org/officeDocument/2006/relationships/settings" Target="settings.xml"/><Relationship Id="rId15" Type="http://schemas.openxmlformats.org/officeDocument/2006/relationships/hyperlink" Target="https://www.legislation.gov.uk/uksi/2020/1125/contents/made" TargetMode="External"/><Relationship Id="rId23" Type="http://schemas.openxmlformats.org/officeDocument/2006/relationships/hyperlink" Target="https://coronavirus-yellowcard.mhra.gov.uk/" TargetMode="External"/><Relationship Id="rId28" Type="http://schemas.openxmlformats.org/officeDocument/2006/relationships/hyperlink" Target="https://www.gov.uk/government/publications/regulatory-approval-of-pfizer-biontech-vaccine-for-covid-19" TargetMode="External"/><Relationship Id="rId10" Type="http://schemas.openxmlformats.org/officeDocument/2006/relationships/hyperlink" Target="https://www.legislation.gov.uk/uksi/2012/1916/contents" TargetMode="External"/><Relationship Id="rId19" Type="http://schemas.openxmlformats.org/officeDocument/2006/relationships/hyperlink" Target="https://www.gov.uk/government/publications/covid-19-the-green-book-chapter-14a"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gislation.gov.uk/uksi/2020/1125/regulation/14/made" TargetMode="External"/><Relationship Id="rId14" Type="http://schemas.openxmlformats.org/officeDocument/2006/relationships/hyperlink" Target="https://www.legislation.gov.uk/uksi/2012/1916/contents" TargetMode="External"/><Relationship Id="rId22" Type="http://schemas.openxmlformats.org/officeDocument/2006/relationships/hyperlink" Target="https://coronavirus-yellowcard.mhra.gov.uk/" TargetMode="External"/><Relationship Id="rId27" Type="http://schemas.openxmlformats.org/officeDocument/2006/relationships/hyperlink" Target="https://www.gov.uk/government/publications/priority-groups-for-coronavirus-covid-19-vaccination-advice-from-the-jcvi-30-december-20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A31284011</value>
    </field>
    <field name="Objective-Title">
      <value order="0">BNT162b2 vaccine Protocol 151220 1800 - SGLD comments</value>
    </field>
    <field name="Objective-Description">
      <value order="0"/>
    </field>
    <field name="Objective-CreationStamp">
      <value order="0">2020-12-16T21:27:59Z</value>
    </field>
    <field name="Objective-IsApproved">
      <value order="0">false</value>
    </field>
    <field name="Objective-IsPublished">
      <value order="0">false</value>
    </field>
    <field name="Objective-DatePublished">
      <value order="0"/>
    </field>
    <field name="Objective-ModificationStamp">
      <value order="0">2020-12-17T10:27:52Z</value>
    </field>
    <field name="Objective-Owner">
      <value order="0">Walker, Kate K (U414211)</value>
    </field>
    <field name="Objective-Path">
      <value order="0">Objective Global Folder:SG File Plan:Crime, law, justice and rights:Law:General:Advice and policy: Law - general Part 5:SGLD FHSC: Vaccinations - Regulations interpretation and advice: 2020-2025</value>
    </field>
    <field name="Objective-Parent">
      <value order="0">SGLD FHSC: Vaccinations - Regulations interpretation and advice: 2020-2025</value>
    </field>
    <field name="Objective-State">
      <value order="0">Being Drafted</value>
    </field>
    <field name="Objective-VersionId">
      <value order="0">vA45595722</value>
    </field>
    <field name="Objective-Version">
      <value order="0">2.1</value>
    </field>
    <field name="Objective-VersionNumber">
      <value order="0">5</value>
    </field>
    <field name="Objective-VersionComment">
      <value order="0"/>
    </field>
    <field name="Objective-FileNumber">
      <value order="0">LIT/18589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7362E72-F857-4346-89B9-39FB753C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7382</Words>
  <Characters>42080</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willim15@nss.scot.nhs.uk</dc:creator>
  <cp:keywords/>
  <dc:description/>
  <cp:lastModifiedBy>Julia Scott</cp:lastModifiedBy>
  <cp:revision>2</cp:revision>
  <dcterms:created xsi:type="dcterms:W3CDTF">2021-01-25T17:13:00Z</dcterms:created>
  <dcterms:modified xsi:type="dcterms:W3CDTF">2021-01-25T17:13:00Z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A31284011</vt:lpwstr>
  </property>
  <property fmtid="{D5CDD505-2E9C-101B-9397-08002B2CF9AE}" pid="4" name="Objective-Title">
    <vt:lpwstr>BNT162b2 vaccine Protocol 151220 1800 - SGLD comments</vt:lpwstr>
  </property>
  <property fmtid="{D5CDD505-2E9C-101B-9397-08002B2CF9AE}" pid="5" name="Objective-Description">
    <vt:lpwstr/>
  </property>
  <property fmtid="{D5CDD505-2E9C-101B-9397-08002B2CF9AE}" pid="6" name="Objective-CreationStamp">
    <vt:filetime>2020-12-16T21:27:59Z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2020-12-17T10:27:52Z</vt:filetime>
  </property>
  <property fmtid="{D5CDD505-2E9C-101B-9397-08002B2CF9AE}" pid="11" name="Objective-Owner">
    <vt:lpwstr>Walker, Kate K (U414211)</vt:lpwstr>
  </property>
  <property fmtid="{D5CDD505-2E9C-101B-9397-08002B2CF9AE}" pid="12" name="Objective-Path">
    <vt:lpwstr>Objective Global Folder:SG File Plan:Crime, law, justice and rights:Law:General:Advice and policy: Law - general Part 5:SGLD FHSC: Vaccinations - Regulations interpretation and advice: 2020-2025</vt:lpwstr>
  </property>
  <property fmtid="{D5CDD505-2E9C-101B-9397-08002B2CF9AE}" pid="13" name="Objective-Parent">
    <vt:lpwstr>SGLD FHSC: Vaccinations - Regulations interpretation and advice: 2020-2025</vt:lpwstr>
  </property>
  <property fmtid="{D5CDD505-2E9C-101B-9397-08002B2CF9AE}" pid="14" name="Objective-State">
    <vt:lpwstr>Being Drafted</vt:lpwstr>
  </property>
  <property fmtid="{D5CDD505-2E9C-101B-9397-08002B2CF9AE}" pid="15" name="Objective-VersionId">
    <vt:lpwstr>vA45595722</vt:lpwstr>
  </property>
  <property fmtid="{D5CDD505-2E9C-101B-9397-08002B2CF9AE}" pid="16" name="Objective-Version">
    <vt:lpwstr>2.1</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LIT/18589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