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DE3F" w14:textId="793DD43A" w:rsidR="005755F8" w:rsidRDefault="00434DCB" w:rsidP="00D626E5">
      <w:pPr>
        <w:spacing w:after="18"/>
      </w:pPr>
      <w:r>
        <w:rPr>
          <w:color w:val="2F5496"/>
          <w:sz w:val="28"/>
        </w:rPr>
        <w:t xml:space="preserve">Foundation Training Year – Deferral Process </w:t>
      </w:r>
      <w:r>
        <w:rPr>
          <w:rFonts w:ascii="Segoe UI" w:eastAsia="Segoe UI" w:hAnsi="Segoe UI" w:cs="Segoe UI"/>
          <w:color w:val="2F5496"/>
          <w:sz w:val="18"/>
        </w:rPr>
        <w:t xml:space="preserve"> </w:t>
      </w:r>
    </w:p>
    <w:p w14:paraId="6D12BD9C" w14:textId="624BD712" w:rsidR="005755F8" w:rsidRDefault="00434DCB" w:rsidP="00091609">
      <w:pPr>
        <w:spacing w:after="0"/>
      </w:pPr>
      <w:r>
        <w:rPr>
          <w:sz w:val="28"/>
        </w:rPr>
        <w:t xml:space="preserve"> </w:t>
      </w:r>
      <w:r>
        <w:rPr>
          <w:rFonts w:ascii="Segoe UI" w:eastAsia="Segoe UI" w:hAnsi="Segoe UI" w:cs="Segoe UI"/>
          <w:sz w:val="18"/>
        </w:rPr>
        <w:t xml:space="preserve">  </w:t>
      </w:r>
    </w:p>
    <w:p w14:paraId="0300F19A" w14:textId="77777777" w:rsidR="005755F8" w:rsidRDefault="00434DCB">
      <w:pPr>
        <w:spacing w:after="0"/>
      </w:pPr>
      <w:r>
        <w:rPr>
          <w:b/>
          <w:sz w:val="24"/>
        </w:rPr>
        <w:t xml:space="preserve">Please note that this document applies only to Scotland. </w:t>
      </w:r>
      <w:r>
        <w:rPr>
          <w:sz w:val="24"/>
        </w:rPr>
        <w:t xml:space="preserve"> </w:t>
      </w:r>
      <w:r>
        <w:rPr>
          <w:rFonts w:ascii="Segoe UI" w:eastAsia="Segoe UI" w:hAnsi="Segoe UI" w:cs="Segoe UI"/>
          <w:sz w:val="18"/>
        </w:rPr>
        <w:t xml:space="preserve"> </w:t>
      </w:r>
    </w:p>
    <w:p w14:paraId="56415206" w14:textId="77777777" w:rsidR="002C4B97" w:rsidRPr="002C4B97" w:rsidRDefault="00434DCB">
      <w:pPr>
        <w:spacing w:after="24" w:line="249" w:lineRule="auto"/>
        <w:ind w:right="272"/>
        <w:rPr>
          <w:rFonts w:ascii="Segoe UI" w:eastAsia="Segoe UI" w:hAnsi="Segoe UI" w:cs="Segoe UI"/>
          <w:sz w:val="18"/>
        </w:rPr>
      </w:pPr>
      <w:r>
        <w:rPr>
          <w:b/>
          <w:sz w:val="24"/>
        </w:rPr>
        <w:t>If you have accepted a post in England or Wales, you should contact your employer.</w:t>
      </w:r>
      <w:r>
        <w:rPr>
          <w:sz w:val="24"/>
        </w:rPr>
        <w:t xml:space="preserve"> </w:t>
      </w:r>
      <w:r>
        <w:rPr>
          <w:rFonts w:ascii="Segoe UI" w:eastAsia="Segoe UI" w:hAnsi="Segoe UI" w:cs="Segoe UI"/>
          <w:sz w:val="18"/>
        </w:rPr>
        <w:t xml:space="preserve"> </w:t>
      </w:r>
    </w:p>
    <w:p w14:paraId="22F4890D" w14:textId="2BCE3F1F" w:rsidR="005755F8" w:rsidRDefault="005755F8">
      <w:pPr>
        <w:spacing w:after="3399"/>
      </w:pPr>
    </w:p>
    <w:tbl>
      <w:tblPr>
        <w:tblStyle w:val="TableGrid"/>
        <w:tblpPr w:vertAnchor="text" w:tblpX="9" w:tblpY="-3697"/>
        <w:tblOverlap w:val="never"/>
        <w:tblW w:w="9017" w:type="dxa"/>
        <w:tblInd w:w="0" w:type="dxa"/>
        <w:tblCellMar>
          <w:top w:w="48" w:type="dxa"/>
          <w:left w:w="5" w:type="dxa"/>
          <w:right w:w="28" w:type="dxa"/>
        </w:tblCellMar>
        <w:tblLook w:val="04A0" w:firstRow="1" w:lastRow="0" w:firstColumn="1" w:lastColumn="0" w:noHBand="0" w:noVBand="1"/>
      </w:tblPr>
      <w:tblGrid>
        <w:gridCol w:w="9017"/>
      </w:tblGrid>
      <w:tr w:rsidR="005755F8" w14:paraId="2277BF7F" w14:textId="77777777" w:rsidTr="00D42A5F">
        <w:trPr>
          <w:trHeight w:val="505"/>
        </w:trPr>
        <w:tc>
          <w:tcPr>
            <w:tcW w:w="9017" w:type="dxa"/>
            <w:tcBorders>
              <w:top w:val="single" w:sz="6" w:space="0" w:color="000000"/>
              <w:left w:val="single" w:sz="6" w:space="0" w:color="000000"/>
              <w:bottom w:val="single" w:sz="6" w:space="0" w:color="000000"/>
              <w:right w:val="single" w:sz="6" w:space="0" w:color="000000"/>
            </w:tcBorders>
            <w:shd w:val="clear" w:color="auto" w:fill="DEEAF6"/>
          </w:tcPr>
          <w:p w14:paraId="1A3A6C2D" w14:textId="77777777" w:rsidR="005755F8" w:rsidRDefault="00434DCB">
            <w:r>
              <w:rPr>
                <w:b/>
                <w:sz w:val="24"/>
              </w:rPr>
              <w:t>Deferral Requests</w:t>
            </w:r>
            <w:r>
              <w:rPr>
                <w:sz w:val="24"/>
              </w:rPr>
              <w:t xml:space="preserve"> </w:t>
            </w:r>
            <w:r>
              <w:rPr>
                <w:rFonts w:ascii="Times New Roman" w:eastAsia="Times New Roman" w:hAnsi="Times New Roman" w:cs="Times New Roman"/>
                <w:sz w:val="24"/>
              </w:rPr>
              <w:t xml:space="preserve"> </w:t>
            </w:r>
          </w:p>
          <w:p w14:paraId="4E54B384" w14:textId="77777777" w:rsidR="005755F8" w:rsidRDefault="00434DCB">
            <w:r>
              <w:rPr>
                <w:color w:val="4472C4"/>
                <w:sz w:val="24"/>
              </w:rPr>
              <w:t xml:space="preserve"> </w:t>
            </w:r>
            <w:r>
              <w:rPr>
                <w:rFonts w:ascii="Times New Roman" w:eastAsia="Times New Roman" w:hAnsi="Times New Roman" w:cs="Times New Roman"/>
                <w:sz w:val="24"/>
              </w:rPr>
              <w:t xml:space="preserve"> </w:t>
            </w:r>
          </w:p>
        </w:tc>
      </w:tr>
      <w:tr w:rsidR="005755F8" w14:paraId="3C64A2EE" w14:textId="77777777" w:rsidTr="00D626E5">
        <w:trPr>
          <w:trHeight w:val="6163"/>
        </w:trPr>
        <w:tc>
          <w:tcPr>
            <w:tcW w:w="9017" w:type="dxa"/>
            <w:tcBorders>
              <w:top w:val="single" w:sz="6" w:space="0" w:color="000000"/>
              <w:left w:val="single" w:sz="6" w:space="0" w:color="000000"/>
              <w:bottom w:val="single" w:sz="6" w:space="0" w:color="000000"/>
              <w:right w:val="single" w:sz="6" w:space="0" w:color="000000"/>
            </w:tcBorders>
          </w:tcPr>
          <w:p w14:paraId="29324822" w14:textId="0AB20A66" w:rsidR="005755F8" w:rsidRDefault="00434DCB" w:rsidP="00AA2172">
            <w:r>
              <w:rPr>
                <w:sz w:val="24"/>
              </w:rPr>
              <w:t xml:space="preserve">As part of the Foundation Training Year (FTY) Recruitment Scheme, after offers are made and accepted by candidates, there is a formal process to manage deferral requests. </w:t>
            </w:r>
            <w:r>
              <w:rPr>
                <w:rFonts w:ascii="Times New Roman" w:eastAsia="Times New Roman" w:hAnsi="Times New Roman" w:cs="Times New Roman"/>
                <w:sz w:val="24"/>
              </w:rPr>
              <w:t xml:space="preserve"> </w:t>
            </w:r>
          </w:p>
          <w:p w14:paraId="09060D02" w14:textId="77777777" w:rsidR="005755F8" w:rsidRDefault="00434DCB">
            <w:r>
              <w:rPr>
                <w:sz w:val="24"/>
              </w:rPr>
              <w:t xml:space="preserve"> </w:t>
            </w:r>
            <w:r>
              <w:rPr>
                <w:rFonts w:ascii="Times New Roman" w:eastAsia="Times New Roman" w:hAnsi="Times New Roman" w:cs="Times New Roman"/>
                <w:sz w:val="24"/>
              </w:rPr>
              <w:t xml:space="preserve"> </w:t>
            </w:r>
          </w:p>
          <w:p w14:paraId="482DB23C" w14:textId="5C0316CE" w:rsidR="005755F8" w:rsidRDefault="006A1F37">
            <w:pPr>
              <w:spacing w:after="5" w:line="256" w:lineRule="auto"/>
              <w:ind w:right="397"/>
              <w:jc w:val="both"/>
            </w:pPr>
            <w:r>
              <w:rPr>
                <w:sz w:val="24"/>
              </w:rPr>
              <w:t>Following the acceptance of an offer</w:t>
            </w:r>
            <w:r w:rsidR="0068206F">
              <w:rPr>
                <w:sz w:val="24"/>
              </w:rPr>
              <w:t>, i</w:t>
            </w:r>
            <w:r w:rsidR="00434DCB">
              <w:rPr>
                <w:sz w:val="24"/>
              </w:rPr>
              <w:t xml:space="preserve">f a </w:t>
            </w:r>
            <w:r w:rsidR="00C23D65">
              <w:rPr>
                <w:sz w:val="24"/>
              </w:rPr>
              <w:t xml:space="preserve">matched </w:t>
            </w:r>
            <w:r w:rsidR="00434DCB">
              <w:rPr>
                <w:sz w:val="24"/>
              </w:rPr>
              <w:t>candidate finds they can no longer start with the</w:t>
            </w:r>
            <w:r w:rsidR="00CD7DCD">
              <w:rPr>
                <w:sz w:val="24"/>
              </w:rPr>
              <w:t>ir</w:t>
            </w:r>
            <w:r w:rsidR="00434DCB">
              <w:rPr>
                <w:sz w:val="24"/>
              </w:rPr>
              <w:t xml:space="preserve"> </w:t>
            </w:r>
            <w:r w:rsidR="005A7932">
              <w:rPr>
                <w:sz w:val="24"/>
              </w:rPr>
              <w:t>employer</w:t>
            </w:r>
            <w:r w:rsidR="00434DCB">
              <w:rPr>
                <w:sz w:val="24"/>
              </w:rPr>
              <w:t xml:space="preserve"> on one of the agreed start dates for the training year, they can submit a deferral request application to NES Pharmacy Team for consideration. </w:t>
            </w:r>
            <w:r w:rsidR="00434DCB">
              <w:rPr>
                <w:rFonts w:ascii="Times New Roman" w:eastAsia="Times New Roman" w:hAnsi="Times New Roman" w:cs="Times New Roman"/>
                <w:sz w:val="24"/>
              </w:rPr>
              <w:t xml:space="preserve"> </w:t>
            </w:r>
          </w:p>
          <w:p w14:paraId="1C1B7D98" w14:textId="77777777" w:rsidR="005755F8" w:rsidRDefault="00434DCB">
            <w:r>
              <w:rPr>
                <w:sz w:val="24"/>
              </w:rPr>
              <w:t xml:space="preserve"> </w:t>
            </w:r>
            <w:r>
              <w:rPr>
                <w:rFonts w:ascii="Times New Roman" w:eastAsia="Times New Roman" w:hAnsi="Times New Roman" w:cs="Times New Roman"/>
                <w:sz w:val="24"/>
              </w:rPr>
              <w:t xml:space="preserve"> </w:t>
            </w:r>
          </w:p>
          <w:p w14:paraId="65ADE2DE" w14:textId="31FAE34D" w:rsidR="005755F8" w:rsidRDefault="00C23D65">
            <w:pPr>
              <w:numPr>
                <w:ilvl w:val="0"/>
                <w:numId w:val="1"/>
              </w:numPr>
              <w:spacing w:after="15" w:line="248" w:lineRule="auto"/>
            </w:pPr>
            <w:r>
              <w:rPr>
                <w:sz w:val="24"/>
              </w:rPr>
              <w:t>Matched c</w:t>
            </w:r>
            <w:r w:rsidR="00434DCB">
              <w:rPr>
                <w:sz w:val="24"/>
              </w:rPr>
              <w:t xml:space="preserve">andidates can only make a deferral request of 12 months. </w:t>
            </w:r>
            <w:r w:rsidR="00434DCB">
              <w:rPr>
                <w:b/>
                <w:sz w:val="24"/>
              </w:rPr>
              <w:t>This timeframe cannot be extended.</w:t>
            </w:r>
            <w:r w:rsidR="00434DCB">
              <w:rPr>
                <w:sz w:val="24"/>
              </w:rPr>
              <w:t xml:space="preserve">  </w:t>
            </w:r>
          </w:p>
          <w:p w14:paraId="5AE556C2" w14:textId="77777777" w:rsidR="005755F8" w:rsidRDefault="00434DCB">
            <w:r>
              <w:rPr>
                <w:sz w:val="24"/>
              </w:rPr>
              <w:t xml:space="preserve"> </w:t>
            </w:r>
            <w:r>
              <w:rPr>
                <w:rFonts w:ascii="Times New Roman" w:eastAsia="Times New Roman" w:hAnsi="Times New Roman" w:cs="Times New Roman"/>
                <w:sz w:val="24"/>
              </w:rPr>
              <w:t xml:space="preserve"> </w:t>
            </w:r>
          </w:p>
          <w:p w14:paraId="2B3E30D6" w14:textId="259B05FB" w:rsidR="005755F8" w:rsidRDefault="00C23D65">
            <w:pPr>
              <w:numPr>
                <w:ilvl w:val="0"/>
                <w:numId w:val="1"/>
              </w:numPr>
              <w:spacing w:after="16" w:line="247" w:lineRule="auto"/>
            </w:pPr>
            <w:r>
              <w:rPr>
                <w:sz w:val="24"/>
              </w:rPr>
              <w:t>Matched c</w:t>
            </w:r>
            <w:r w:rsidR="00434DCB">
              <w:rPr>
                <w:sz w:val="24"/>
              </w:rPr>
              <w:t xml:space="preserve">andidates cannot amend the duration period of the deferral request once the request has been submitted i.e., candidates cannot request a deferral period of 12 months and then reduce this to 3 months if their circumstances have changed.  </w:t>
            </w:r>
          </w:p>
          <w:p w14:paraId="0BE44BDA" w14:textId="77777777" w:rsidR="005755F8" w:rsidRDefault="00434DCB">
            <w:r>
              <w:rPr>
                <w:sz w:val="24"/>
              </w:rPr>
              <w:t xml:space="preserve"> </w:t>
            </w:r>
            <w:r>
              <w:rPr>
                <w:rFonts w:ascii="Times New Roman" w:eastAsia="Times New Roman" w:hAnsi="Times New Roman" w:cs="Times New Roman"/>
                <w:sz w:val="24"/>
              </w:rPr>
              <w:t xml:space="preserve"> </w:t>
            </w:r>
          </w:p>
          <w:p w14:paraId="372CBC42" w14:textId="6C7CBD66" w:rsidR="00FA27E5" w:rsidRPr="0002749F" w:rsidRDefault="00567772">
            <w:pPr>
              <w:numPr>
                <w:ilvl w:val="0"/>
                <w:numId w:val="1"/>
              </w:numPr>
              <w:spacing w:after="12" w:line="248" w:lineRule="auto"/>
            </w:pPr>
            <w:r>
              <w:rPr>
                <w:sz w:val="24"/>
              </w:rPr>
              <w:t>Matched c</w:t>
            </w:r>
            <w:r w:rsidR="00434DCB">
              <w:rPr>
                <w:sz w:val="24"/>
              </w:rPr>
              <w:t>andidates should note that the reason for the deferral request will be disclosed with the</w:t>
            </w:r>
            <w:r w:rsidR="008D707E">
              <w:rPr>
                <w:sz w:val="24"/>
              </w:rPr>
              <w:t xml:space="preserve"> employer</w:t>
            </w:r>
            <w:r w:rsidR="00434DCB">
              <w:rPr>
                <w:sz w:val="24"/>
              </w:rPr>
              <w:t xml:space="preserve"> as part of the process.   </w:t>
            </w:r>
          </w:p>
          <w:p w14:paraId="1548730A" w14:textId="77777777" w:rsidR="0002749F" w:rsidRDefault="0002749F" w:rsidP="0002749F">
            <w:pPr>
              <w:pStyle w:val="ListParagraph"/>
            </w:pPr>
          </w:p>
          <w:p w14:paraId="01BB3EA1" w14:textId="77777777" w:rsidR="00184A3F" w:rsidRPr="00184A3F" w:rsidRDefault="00184A3F" w:rsidP="00184A3F">
            <w:pPr>
              <w:numPr>
                <w:ilvl w:val="0"/>
                <w:numId w:val="1"/>
              </w:numPr>
              <w:spacing w:after="12" w:line="248" w:lineRule="auto"/>
              <w:rPr>
                <w:sz w:val="24"/>
              </w:rPr>
            </w:pPr>
            <w:r w:rsidRPr="00184A3F">
              <w:rPr>
                <w:sz w:val="24"/>
              </w:rPr>
              <w:t xml:space="preserve">Deferral requests should be submitted ideally </w:t>
            </w:r>
            <w:r w:rsidRPr="000B2BEE">
              <w:rPr>
                <w:b/>
                <w:bCs/>
                <w:sz w:val="24"/>
              </w:rPr>
              <w:t>12 weeks (60 business days)</w:t>
            </w:r>
            <w:r w:rsidRPr="00184A3F">
              <w:rPr>
                <w:sz w:val="24"/>
              </w:rPr>
              <w:t xml:space="preserve"> but no later than considered </w:t>
            </w:r>
            <w:r w:rsidRPr="000B2BEE">
              <w:rPr>
                <w:b/>
                <w:bCs/>
                <w:sz w:val="24"/>
              </w:rPr>
              <w:t>8 weeks (40 business days)</w:t>
            </w:r>
            <w:r w:rsidRPr="00184A3F">
              <w:rPr>
                <w:sz w:val="24"/>
              </w:rPr>
              <w:t xml:space="preserve"> prior to the training commencement date.  </w:t>
            </w:r>
          </w:p>
          <w:p w14:paraId="075E6A3A" w14:textId="77777777" w:rsidR="00184A3F" w:rsidRPr="00184A3F" w:rsidRDefault="00184A3F" w:rsidP="00184A3F">
            <w:pPr>
              <w:spacing w:after="12" w:line="248" w:lineRule="auto"/>
              <w:ind w:left="1080"/>
              <w:rPr>
                <w:sz w:val="24"/>
              </w:rPr>
            </w:pPr>
            <w:r w:rsidRPr="00184A3F">
              <w:rPr>
                <w:sz w:val="24"/>
              </w:rPr>
              <w:t xml:space="preserve">  </w:t>
            </w:r>
          </w:p>
          <w:p w14:paraId="503E8FF5" w14:textId="57D55CAF" w:rsidR="005755F8" w:rsidRPr="00184A3F" w:rsidRDefault="00184A3F" w:rsidP="00184A3F">
            <w:pPr>
              <w:numPr>
                <w:ilvl w:val="0"/>
                <w:numId w:val="1"/>
              </w:numPr>
              <w:spacing w:after="12" w:line="248" w:lineRule="auto"/>
              <w:rPr>
                <w:sz w:val="24"/>
              </w:rPr>
            </w:pPr>
            <w:r w:rsidRPr="00184A3F">
              <w:rPr>
                <w:sz w:val="24"/>
              </w:rPr>
              <w:t xml:space="preserve">Any deferral requests made after the 8-week deadline </w:t>
            </w:r>
            <w:r w:rsidR="00D626E5" w:rsidRPr="2815E0BB">
              <w:rPr>
                <w:sz w:val="24"/>
              </w:rPr>
              <w:t>will not be considered</w:t>
            </w:r>
            <w:r w:rsidR="00D626E5">
              <w:rPr>
                <w:sz w:val="24"/>
              </w:rPr>
              <w:t xml:space="preserve"> unless there are extenuating circumstances</w:t>
            </w:r>
          </w:p>
          <w:p w14:paraId="0B2598D4" w14:textId="77777777" w:rsidR="005755F8" w:rsidRDefault="00434DCB">
            <w:r>
              <w:rPr>
                <w:color w:val="4472C4"/>
                <w:sz w:val="24"/>
              </w:rPr>
              <w:t xml:space="preserve"> </w:t>
            </w:r>
            <w:r>
              <w:rPr>
                <w:rFonts w:ascii="Times New Roman" w:eastAsia="Times New Roman" w:hAnsi="Times New Roman" w:cs="Times New Roman"/>
                <w:sz w:val="24"/>
              </w:rPr>
              <w:t xml:space="preserve"> </w:t>
            </w:r>
          </w:p>
        </w:tc>
      </w:tr>
    </w:tbl>
    <w:p w14:paraId="7BCB5ADA" w14:textId="77777777" w:rsidR="005755F8" w:rsidRDefault="00434DCB">
      <w:pPr>
        <w:spacing w:after="0"/>
        <w:rPr>
          <w:rFonts w:ascii="Segoe UI" w:eastAsia="Segoe UI" w:hAnsi="Segoe UI" w:cs="Segoe UI"/>
          <w:sz w:val="18"/>
        </w:rPr>
      </w:pPr>
      <w:r>
        <w:rPr>
          <w:color w:val="4472C4"/>
          <w:sz w:val="24"/>
        </w:rPr>
        <w:t xml:space="preserve"> </w:t>
      </w:r>
      <w:r>
        <w:rPr>
          <w:rFonts w:ascii="Segoe UI" w:eastAsia="Segoe UI" w:hAnsi="Segoe UI" w:cs="Segoe UI"/>
          <w:sz w:val="18"/>
        </w:rPr>
        <w:t xml:space="preserve"> </w:t>
      </w:r>
    </w:p>
    <w:p w14:paraId="641BFC7B" w14:textId="77777777" w:rsidR="00D626E5" w:rsidRDefault="00D626E5">
      <w:pPr>
        <w:spacing w:after="0"/>
      </w:pPr>
    </w:p>
    <w:tbl>
      <w:tblPr>
        <w:tblStyle w:val="TableGrid"/>
        <w:tblW w:w="9009" w:type="dxa"/>
        <w:tblInd w:w="9" w:type="dxa"/>
        <w:tblCellMar>
          <w:top w:w="46" w:type="dxa"/>
          <w:left w:w="5" w:type="dxa"/>
          <w:right w:w="130" w:type="dxa"/>
        </w:tblCellMar>
        <w:tblLook w:val="04A0" w:firstRow="1" w:lastRow="0" w:firstColumn="1" w:lastColumn="0" w:noHBand="0" w:noVBand="1"/>
      </w:tblPr>
      <w:tblGrid>
        <w:gridCol w:w="9009"/>
      </w:tblGrid>
      <w:tr w:rsidR="005755F8" w14:paraId="6092D1C6" w14:textId="77777777">
        <w:trPr>
          <w:trHeight w:val="616"/>
        </w:trPr>
        <w:tc>
          <w:tcPr>
            <w:tcW w:w="9009" w:type="dxa"/>
            <w:tcBorders>
              <w:top w:val="single" w:sz="6" w:space="0" w:color="000000"/>
              <w:left w:val="single" w:sz="6" w:space="0" w:color="000000"/>
              <w:bottom w:val="single" w:sz="6" w:space="0" w:color="000000"/>
              <w:right w:val="single" w:sz="6" w:space="0" w:color="000000"/>
            </w:tcBorders>
            <w:shd w:val="clear" w:color="auto" w:fill="DEEAF6"/>
          </w:tcPr>
          <w:p w14:paraId="43694798" w14:textId="77777777" w:rsidR="005755F8" w:rsidRDefault="00434DCB">
            <w:pPr>
              <w:spacing w:after="1"/>
            </w:pPr>
            <w:r>
              <w:rPr>
                <w:b/>
                <w:sz w:val="24"/>
              </w:rPr>
              <w:t>Eligibility Criteria</w:t>
            </w:r>
            <w:r>
              <w:rPr>
                <w:sz w:val="24"/>
              </w:rPr>
              <w:t xml:space="preserve"> </w:t>
            </w:r>
            <w:r>
              <w:rPr>
                <w:rFonts w:ascii="Times New Roman" w:eastAsia="Times New Roman" w:hAnsi="Times New Roman" w:cs="Times New Roman"/>
                <w:sz w:val="24"/>
              </w:rPr>
              <w:t xml:space="preserve"> </w:t>
            </w:r>
          </w:p>
          <w:p w14:paraId="38EC695C" w14:textId="77777777" w:rsidR="005755F8" w:rsidRDefault="00434DCB">
            <w:r>
              <w:rPr>
                <w:color w:val="4472C4"/>
                <w:sz w:val="24"/>
              </w:rPr>
              <w:t xml:space="preserve"> </w:t>
            </w:r>
            <w:r>
              <w:rPr>
                <w:rFonts w:ascii="Times New Roman" w:eastAsia="Times New Roman" w:hAnsi="Times New Roman" w:cs="Times New Roman"/>
                <w:sz w:val="24"/>
              </w:rPr>
              <w:t xml:space="preserve"> </w:t>
            </w:r>
          </w:p>
        </w:tc>
      </w:tr>
      <w:tr w:rsidR="005755F8" w14:paraId="474398AD" w14:textId="77777777">
        <w:trPr>
          <w:trHeight w:val="2734"/>
        </w:trPr>
        <w:tc>
          <w:tcPr>
            <w:tcW w:w="9009" w:type="dxa"/>
            <w:tcBorders>
              <w:top w:val="single" w:sz="6" w:space="0" w:color="000000"/>
              <w:left w:val="single" w:sz="6" w:space="0" w:color="000000"/>
              <w:bottom w:val="single" w:sz="6" w:space="0" w:color="000000"/>
              <w:right w:val="single" w:sz="6" w:space="0" w:color="000000"/>
            </w:tcBorders>
          </w:tcPr>
          <w:p w14:paraId="74D8C897" w14:textId="74A087CB" w:rsidR="005755F8" w:rsidRDefault="00434DCB" w:rsidP="00091609">
            <w:pPr>
              <w:spacing w:after="25"/>
            </w:pPr>
            <w:r>
              <w:rPr>
                <w:sz w:val="24"/>
              </w:rPr>
              <w:t xml:space="preserve"> Deferral requests will only be approved on</w:t>
            </w:r>
            <w:r w:rsidR="00286ABD">
              <w:rPr>
                <w:sz w:val="24"/>
              </w:rPr>
              <w:t xml:space="preserve"> the following</w:t>
            </w:r>
            <w:r>
              <w:rPr>
                <w:sz w:val="24"/>
              </w:rPr>
              <w:t xml:space="preserve"> statutory grounds: </w:t>
            </w:r>
            <w:r>
              <w:rPr>
                <w:rFonts w:ascii="Times New Roman" w:eastAsia="Times New Roman" w:hAnsi="Times New Roman" w:cs="Times New Roman"/>
                <w:sz w:val="24"/>
              </w:rPr>
              <w:t xml:space="preserve"> </w:t>
            </w:r>
          </w:p>
          <w:p w14:paraId="3B9446A9" w14:textId="77777777" w:rsidR="005755F8" w:rsidRDefault="00434DCB">
            <w:r>
              <w:rPr>
                <w:sz w:val="24"/>
              </w:rPr>
              <w:t xml:space="preserve"> </w:t>
            </w:r>
            <w:r>
              <w:rPr>
                <w:rFonts w:ascii="Times New Roman" w:eastAsia="Times New Roman" w:hAnsi="Times New Roman" w:cs="Times New Roman"/>
                <w:sz w:val="24"/>
              </w:rPr>
              <w:t xml:space="preserve"> </w:t>
            </w:r>
          </w:p>
          <w:p w14:paraId="42679A56" w14:textId="77777777" w:rsidR="005755F8" w:rsidRDefault="00434DCB">
            <w:pPr>
              <w:numPr>
                <w:ilvl w:val="0"/>
                <w:numId w:val="2"/>
              </w:numPr>
              <w:ind w:hanging="360"/>
            </w:pPr>
            <w:r>
              <w:rPr>
                <w:b/>
                <w:sz w:val="24"/>
              </w:rPr>
              <w:t>Maternity/Paternity/Adoption Leave</w:t>
            </w:r>
            <w:r>
              <w:rPr>
                <w:sz w:val="24"/>
              </w:rPr>
              <w:t xml:space="preserve">  </w:t>
            </w:r>
          </w:p>
          <w:p w14:paraId="1B98A006" w14:textId="77777777" w:rsidR="005755F8" w:rsidRDefault="00434DCB">
            <w:pPr>
              <w:numPr>
                <w:ilvl w:val="0"/>
                <w:numId w:val="2"/>
              </w:numPr>
              <w:ind w:hanging="360"/>
            </w:pPr>
            <w:r>
              <w:rPr>
                <w:b/>
                <w:sz w:val="24"/>
              </w:rPr>
              <w:t>Medical condition (ill health)</w:t>
            </w:r>
            <w:r>
              <w:rPr>
                <w:sz w:val="24"/>
              </w:rPr>
              <w:t xml:space="preserve">  </w:t>
            </w:r>
          </w:p>
          <w:p w14:paraId="493FC44C" w14:textId="77777777" w:rsidR="005755F8" w:rsidRDefault="00434DCB">
            <w:r>
              <w:rPr>
                <w:sz w:val="24"/>
              </w:rPr>
              <w:t xml:space="preserve"> </w:t>
            </w:r>
            <w:r>
              <w:rPr>
                <w:rFonts w:ascii="Times New Roman" w:eastAsia="Times New Roman" w:hAnsi="Times New Roman" w:cs="Times New Roman"/>
                <w:sz w:val="24"/>
              </w:rPr>
              <w:t xml:space="preserve"> </w:t>
            </w:r>
          </w:p>
          <w:p w14:paraId="5C551641" w14:textId="2141F45F" w:rsidR="005755F8" w:rsidRDefault="00434DCB" w:rsidP="00091609">
            <w:pPr>
              <w:spacing w:line="275" w:lineRule="auto"/>
              <w:jc w:val="both"/>
            </w:pPr>
            <w:r>
              <w:rPr>
                <w:sz w:val="24"/>
              </w:rPr>
              <w:t xml:space="preserve">Candidates requesting a deferral of their training year must </w:t>
            </w:r>
            <w:r w:rsidR="00FB6541">
              <w:rPr>
                <w:sz w:val="24"/>
              </w:rPr>
              <w:t xml:space="preserve">contact the FTY team at </w:t>
            </w:r>
            <w:hyperlink r:id="rId10" w:history="1">
              <w:r w:rsidR="00465570" w:rsidRPr="00673446">
                <w:rPr>
                  <w:rStyle w:val="Hyperlink"/>
                  <w:sz w:val="24"/>
                </w:rPr>
                <w:t>nes.ftypharmacy@nhs.scot</w:t>
              </w:r>
            </w:hyperlink>
            <w:r w:rsidR="00465570">
              <w:rPr>
                <w:sz w:val="24"/>
                <w:u w:val="single" w:color="0563C1"/>
              </w:rPr>
              <w:t xml:space="preserve"> </w:t>
            </w:r>
            <w:r w:rsidR="00FB6541" w:rsidRPr="00465570">
              <w:rPr>
                <w:rFonts w:eastAsia="Times New Roman"/>
                <w:sz w:val="24"/>
              </w:rPr>
              <w:t>to arrange a discussion</w:t>
            </w:r>
            <w:r w:rsidR="005B6DD5" w:rsidRPr="00465570">
              <w:rPr>
                <w:rFonts w:eastAsia="Times New Roman"/>
                <w:sz w:val="24"/>
              </w:rPr>
              <w:t xml:space="preserve"> with a </w:t>
            </w:r>
            <w:r w:rsidR="006A62A4" w:rsidRPr="00465570">
              <w:rPr>
                <w:rFonts w:eastAsia="Times New Roman"/>
                <w:sz w:val="24"/>
              </w:rPr>
              <w:t xml:space="preserve">NES </w:t>
            </w:r>
            <w:r w:rsidR="00465570">
              <w:rPr>
                <w:rFonts w:eastAsia="Times New Roman"/>
                <w:sz w:val="24"/>
              </w:rPr>
              <w:t xml:space="preserve">support </w:t>
            </w:r>
            <w:r w:rsidR="006A62A4" w:rsidRPr="00465570">
              <w:rPr>
                <w:rFonts w:eastAsia="Times New Roman"/>
                <w:sz w:val="24"/>
              </w:rPr>
              <w:t>Pharmacy Education Coordinator</w:t>
            </w:r>
            <w:r w:rsidR="00465570">
              <w:rPr>
                <w:rFonts w:eastAsia="Times New Roman"/>
                <w:sz w:val="24"/>
              </w:rPr>
              <w:t xml:space="preserve"> (PEC).</w:t>
            </w:r>
          </w:p>
        </w:tc>
      </w:tr>
      <w:tr w:rsidR="005755F8" w14:paraId="33AF3F96" w14:textId="77777777">
        <w:trPr>
          <w:trHeight w:val="1222"/>
        </w:trPr>
        <w:tc>
          <w:tcPr>
            <w:tcW w:w="9009" w:type="dxa"/>
            <w:tcBorders>
              <w:top w:val="single" w:sz="6" w:space="0" w:color="000000"/>
              <w:left w:val="single" w:sz="6" w:space="0" w:color="000000"/>
              <w:bottom w:val="single" w:sz="6" w:space="0" w:color="000000"/>
              <w:right w:val="single" w:sz="6" w:space="0" w:color="000000"/>
            </w:tcBorders>
          </w:tcPr>
          <w:p w14:paraId="0744EF41" w14:textId="5D57268C" w:rsidR="005755F8" w:rsidRDefault="001F32CC">
            <w:pPr>
              <w:spacing w:line="261" w:lineRule="auto"/>
              <w:ind w:right="307"/>
              <w:jc w:val="both"/>
            </w:pPr>
            <w:r>
              <w:rPr>
                <w:sz w:val="24"/>
              </w:rPr>
              <w:t>Upon receipt of a deferral request a</w:t>
            </w:r>
            <w:r w:rsidR="00434DCB">
              <w:rPr>
                <w:sz w:val="24"/>
              </w:rPr>
              <w:t xml:space="preserve"> NES </w:t>
            </w:r>
            <w:r>
              <w:rPr>
                <w:sz w:val="24"/>
              </w:rPr>
              <w:t xml:space="preserve">support </w:t>
            </w:r>
            <w:r w:rsidR="00121733">
              <w:rPr>
                <w:sz w:val="24"/>
              </w:rPr>
              <w:t>PEC</w:t>
            </w:r>
            <w:r w:rsidR="00434DCB">
              <w:rPr>
                <w:sz w:val="24"/>
              </w:rPr>
              <w:t xml:space="preserve"> </w:t>
            </w:r>
            <w:r w:rsidR="00DB41A6">
              <w:rPr>
                <w:sz w:val="24"/>
              </w:rPr>
              <w:t>will be</w:t>
            </w:r>
            <w:r w:rsidR="00434DCB">
              <w:rPr>
                <w:sz w:val="24"/>
              </w:rPr>
              <w:t xml:space="preserve"> assigned to support the application process</w:t>
            </w:r>
            <w:r w:rsidR="00121733">
              <w:rPr>
                <w:sz w:val="24"/>
              </w:rPr>
              <w:t xml:space="preserve">. Matched </w:t>
            </w:r>
            <w:r w:rsidR="00434DCB">
              <w:rPr>
                <w:sz w:val="24"/>
              </w:rPr>
              <w:t xml:space="preserve">candidates are required to submit </w:t>
            </w:r>
            <w:r w:rsidR="00346872">
              <w:rPr>
                <w:sz w:val="24"/>
              </w:rPr>
              <w:t xml:space="preserve">a deferral application with </w:t>
            </w:r>
            <w:r w:rsidR="00434DCB">
              <w:rPr>
                <w:sz w:val="24"/>
              </w:rPr>
              <w:t>the following documents as evidence/grounds for their deferral request within the allocated timeframe</w:t>
            </w:r>
            <w:r w:rsidR="009C6D1D">
              <w:rPr>
                <w:sz w:val="24"/>
              </w:rPr>
              <w:t xml:space="preserve"> to their </w:t>
            </w:r>
            <w:hyperlink r:id="rId11" w:history="1">
              <w:r w:rsidR="00B423AA" w:rsidRPr="00673446">
                <w:rPr>
                  <w:rStyle w:val="Hyperlink"/>
                  <w:sz w:val="24"/>
                </w:rPr>
                <w:t>nes.ftypharmacy@nhs.scot</w:t>
              </w:r>
            </w:hyperlink>
            <w:r w:rsidR="00434DCB">
              <w:rPr>
                <w:sz w:val="24"/>
              </w:rPr>
              <w:t xml:space="preserve">. </w:t>
            </w:r>
            <w:r w:rsidR="00434DCB">
              <w:rPr>
                <w:rFonts w:ascii="Times New Roman" w:eastAsia="Times New Roman" w:hAnsi="Times New Roman" w:cs="Times New Roman"/>
                <w:sz w:val="24"/>
              </w:rPr>
              <w:t xml:space="preserve"> </w:t>
            </w:r>
          </w:p>
          <w:p w14:paraId="7A9B523F" w14:textId="77777777" w:rsidR="005755F8" w:rsidRDefault="00434DCB">
            <w:r>
              <w:rPr>
                <w:color w:val="4472C4"/>
                <w:sz w:val="24"/>
              </w:rPr>
              <w:t xml:space="preserve"> </w:t>
            </w:r>
            <w:r>
              <w:rPr>
                <w:rFonts w:ascii="Times New Roman" w:eastAsia="Times New Roman" w:hAnsi="Times New Roman" w:cs="Times New Roman"/>
                <w:sz w:val="24"/>
              </w:rPr>
              <w:t xml:space="preserve"> </w:t>
            </w:r>
          </w:p>
        </w:tc>
      </w:tr>
      <w:tr w:rsidR="005755F8" w14:paraId="45C9BC5B" w14:textId="77777777" w:rsidTr="00251AC2">
        <w:trPr>
          <w:trHeight w:val="2205"/>
        </w:trPr>
        <w:tc>
          <w:tcPr>
            <w:tcW w:w="9009" w:type="dxa"/>
            <w:tcBorders>
              <w:top w:val="single" w:sz="6" w:space="0" w:color="000000"/>
              <w:left w:val="single" w:sz="6" w:space="0" w:color="000000"/>
              <w:bottom w:val="single" w:sz="6" w:space="0" w:color="000000"/>
              <w:right w:val="single" w:sz="6" w:space="0" w:color="000000"/>
            </w:tcBorders>
          </w:tcPr>
          <w:p w14:paraId="2AB69E3F" w14:textId="700787ED" w:rsidR="005755F8" w:rsidRDefault="00434DCB" w:rsidP="00CE7F33">
            <w:pPr>
              <w:spacing w:after="27"/>
            </w:pPr>
            <w:r>
              <w:rPr>
                <w:sz w:val="24"/>
              </w:rPr>
              <w:t xml:space="preserve"> </w:t>
            </w:r>
            <w:r>
              <w:rPr>
                <w:b/>
                <w:sz w:val="24"/>
              </w:rPr>
              <w:t xml:space="preserve">Maternity/Paternity/Adoption </w:t>
            </w:r>
            <w:r>
              <w:rPr>
                <w:sz w:val="24"/>
              </w:rPr>
              <w:t xml:space="preserve">- supporting evidence required:  </w:t>
            </w:r>
            <w:r>
              <w:rPr>
                <w:rFonts w:ascii="Times New Roman" w:eastAsia="Times New Roman" w:hAnsi="Times New Roman" w:cs="Times New Roman"/>
                <w:sz w:val="24"/>
              </w:rPr>
              <w:t xml:space="preserve"> </w:t>
            </w:r>
          </w:p>
          <w:p w14:paraId="3AE1911B" w14:textId="77777777" w:rsidR="005755F8" w:rsidRDefault="00434DCB">
            <w:r>
              <w:rPr>
                <w:sz w:val="24"/>
              </w:rPr>
              <w:t xml:space="preserve">  </w:t>
            </w:r>
            <w:r>
              <w:rPr>
                <w:rFonts w:ascii="Times New Roman" w:eastAsia="Times New Roman" w:hAnsi="Times New Roman" w:cs="Times New Roman"/>
                <w:sz w:val="24"/>
              </w:rPr>
              <w:t xml:space="preserve"> </w:t>
            </w:r>
          </w:p>
          <w:p w14:paraId="7A8897D0" w14:textId="77777777" w:rsidR="005755F8" w:rsidRDefault="00434DCB">
            <w:pPr>
              <w:numPr>
                <w:ilvl w:val="0"/>
                <w:numId w:val="3"/>
              </w:numPr>
              <w:spacing w:line="248" w:lineRule="auto"/>
            </w:pPr>
            <w:r>
              <w:rPr>
                <w:sz w:val="24"/>
              </w:rPr>
              <w:t xml:space="preserve">A copy of your/your partner’s MATB1 form and/or confirmation letter from your/your partner’s GP or midwife  </w:t>
            </w:r>
          </w:p>
          <w:p w14:paraId="6535130D" w14:textId="77777777" w:rsidR="005755F8" w:rsidRDefault="00434DCB">
            <w:pPr>
              <w:numPr>
                <w:ilvl w:val="0"/>
                <w:numId w:val="3"/>
              </w:numPr>
              <w:spacing w:line="248" w:lineRule="auto"/>
            </w:pPr>
            <w:r>
              <w:rPr>
                <w:sz w:val="24"/>
              </w:rPr>
              <w:t xml:space="preserve">A copy of the matching certificate, or a confirmation letter from the adoption agency  </w:t>
            </w:r>
          </w:p>
          <w:p w14:paraId="4028C9BE" w14:textId="77777777" w:rsidR="005755F8" w:rsidRDefault="00434DCB">
            <w:pPr>
              <w:numPr>
                <w:ilvl w:val="0"/>
                <w:numId w:val="3"/>
              </w:numPr>
              <w:spacing w:after="2"/>
            </w:pPr>
            <w:r>
              <w:rPr>
                <w:sz w:val="24"/>
              </w:rPr>
              <w:t xml:space="preserve">Any other relevant documents to support your request.  </w:t>
            </w:r>
          </w:p>
          <w:p w14:paraId="732DF981" w14:textId="37D89023" w:rsidR="005755F8" w:rsidRDefault="00434DCB">
            <w:r>
              <w:rPr>
                <w:sz w:val="24"/>
              </w:rPr>
              <w:t xml:space="preserve"> </w:t>
            </w:r>
          </w:p>
        </w:tc>
      </w:tr>
      <w:tr w:rsidR="005755F8" w14:paraId="05C939B6" w14:textId="77777777">
        <w:trPr>
          <w:trHeight w:val="4239"/>
        </w:trPr>
        <w:tc>
          <w:tcPr>
            <w:tcW w:w="9009" w:type="dxa"/>
            <w:tcBorders>
              <w:top w:val="single" w:sz="6" w:space="0" w:color="000000"/>
              <w:left w:val="single" w:sz="6" w:space="0" w:color="000000"/>
              <w:bottom w:val="single" w:sz="6" w:space="0" w:color="000000"/>
              <w:right w:val="single" w:sz="6" w:space="0" w:color="000000"/>
            </w:tcBorders>
          </w:tcPr>
          <w:p w14:paraId="5ECC0F3B" w14:textId="6BF68170" w:rsidR="005755F8" w:rsidRDefault="00434DCB" w:rsidP="006C03C8">
            <w:pPr>
              <w:spacing w:after="25"/>
            </w:pPr>
            <w:r>
              <w:rPr>
                <w:sz w:val="24"/>
              </w:rPr>
              <w:t xml:space="preserve"> </w:t>
            </w:r>
            <w:r>
              <w:rPr>
                <w:b/>
                <w:sz w:val="24"/>
              </w:rPr>
              <w:t xml:space="preserve">Medical condition (ill health) </w:t>
            </w:r>
            <w:r>
              <w:rPr>
                <w:sz w:val="24"/>
              </w:rPr>
              <w:t xml:space="preserve">- supporting evidence required:  </w:t>
            </w:r>
            <w:r>
              <w:rPr>
                <w:rFonts w:ascii="Times New Roman" w:eastAsia="Times New Roman" w:hAnsi="Times New Roman" w:cs="Times New Roman"/>
                <w:sz w:val="24"/>
              </w:rPr>
              <w:t xml:space="preserve"> </w:t>
            </w:r>
          </w:p>
          <w:p w14:paraId="557120D3" w14:textId="77777777" w:rsidR="005755F8" w:rsidRDefault="00434DCB">
            <w:r>
              <w:rPr>
                <w:sz w:val="24"/>
              </w:rPr>
              <w:t xml:space="preserve"> </w:t>
            </w:r>
            <w:r>
              <w:rPr>
                <w:rFonts w:ascii="Times New Roman" w:eastAsia="Times New Roman" w:hAnsi="Times New Roman" w:cs="Times New Roman"/>
                <w:sz w:val="24"/>
              </w:rPr>
              <w:t xml:space="preserve"> </w:t>
            </w:r>
          </w:p>
          <w:p w14:paraId="7005290C" w14:textId="77777777" w:rsidR="005755F8" w:rsidRDefault="00434DCB">
            <w:pPr>
              <w:spacing w:after="17" w:line="246" w:lineRule="auto"/>
              <w:ind w:left="108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4"/>
              </w:rPr>
              <w:t xml:space="preserve">A report from the current medical specialist treating your condition, dated within the last 6 months, in which they will be required to:    </w:t>
            </w:r>
          </w:p>
          <w:p w14:paraId="1104AEDE" w14:textId="77777777" w:rsidR="005755F8" w:rsidRDefault="00434DCB">
            <w:pPr>
              <w:ind w:left="720"/>
            </w:pPr>
            <w:r>
              <w:rPr>
                <w:sz w:val="24"/>
              </w:rPr>
              <w:t xml:space="preserve"> </w:t>
            </w:r>
            <w:r>
              <w:rPr>
                <w:rFonts w:ascii="Times New Roman" w:eastAsia="Times New Roman" w:hAnsi="Times New Roman" w:cs="Times New Roman"/>
                <w:sz w:val="24"/>
              </w:rPr>
              <w:t xml:space="preserve"> </w:t>
            </w:r>
          </w:p>
          <w:p w14:paraId="5BF2BC76" w14:textId="0A34E319" w:rsidR="0025364F" w:rsidRPr="0025364F" w:rsidRDefault="00434DCB" w:rsidP="005919DD">
            <w:pPr>
              <w:pStyle w:val="ListParagraph"/>
              <w:numPr>
                <w:ilvl w:val="0"/>
                <w:numId w:val="6"/>
              </w:numPr>
              <w:spacing w:after="15" w:line="248" w:lineRule="auto"/>
              <w:ind w:right="722"/>
              <w:rPr>
                <w:sz w:val="24"/>
              </w:rPr>
            </w:pPr>
            <w:r w:rsidRPr="0025364F">
              <w:rPr>
                <w:sz w:val="24"/>
              </w:rPr>
              <w:t>Describe the current medical condition  </w:t>
            </w:r>
          </w:p>
          <w:p w14:paraId="3A79B0BB" w14:textId="77777777" w:rsidR="0025364F" w:rsidRPr="0025364F" w:rsidRDefault="00434DCB" w:rsidP="005919DD">
            <w:pPr>
              <w:pStyle w:val="ListParagraph"/>
              <w:numPr>
                <w:ilvl w:val="0"/>
                <w:numId w:val="6"/>
              </w:numPr>
              <w:spacing w:after="15" w:line="248" w:lineRule="auto"/>
              <w:ind w:right="722"/>
            </w:pPr>
            <w:r w:rsidRPr="0025364F">
              <w:rPr>
                <w:sz w:val="24"/>
              </w:rPr>
              <w:t>Describe the nature of the ongoing treatment and frequency</w:t>
            </w:r>
          </w:p>
          <w:p w14:paraId="349027D5" w14:textId="77777777" w:rsidR="009C6D1D" w:rsidRPr="00A60C25" w:rsidRDefault="00434DCB" w:rsidP="00A60C25">
            <w:pPr>
              <w:pStyle w:val="ListParagraph"/>
              <w:numPr>
                <w:ilvl w:val="0"/>
                <w:numId w:val="6"/>
              </w:numPr>
              <w:spacing w:after="15" w:line="248" w:lineRule="auto"/>
              <w:ind w:right="722"/>
            </w:pPr>
            <w:r w:rsidRPr="0025364F">
              <w:rPr>
                <w:sz w:val="24"/>
              </w:rPr>
              <w:t xml:space="preserve">Describe the impact on your health and wellbeing if deferral declined  </w:t>
            </w:r>
          </w:p>
          <w:p w14:paraId="2212F525" w14:textId="77777777" w:rsidR="00A60C25" w:rsidRDefault="00A60C25" w:rsidP="00A60C25">
            <w:pPr>
              <w:spacing w:after="15" w:line="248" w:lineRule="auto"/>
              <w:ind w:right="722"/>
            </w:pPr>
          </w:p>
          <w:p w14:paraId="4C53556C" w14:textId="77777777" w:rsidR="00A60C25" w:rsidRPr="00F450B0" w:rsidRDefault="00A60C25" w:rsidP="00A60C25">
            <w:pPr>
              <w:rPr>
                <w:b/>
                <w:bCs/>
              </w:rPr>
            </w:pPr>
            <w:r w:rsidRPr="00F450B0">
              <w:rPr>
                <w:b/>
                <w:bCs/>
                <w:sz w:val="24"/>
              </w:rPr>
              <w:t xml:space="preserve">Confidentiality </w:t>
            </w:r>
          </w:p>
          <w:p w14:paraId="774DFBFE" w14:textId="156C13A9" w:rsidR="00A60C25" w:rsidRPr="009C6D1D" w:rsidRDefault="00A60C25" w:rsidP="00A60C25">
            <w:pPr>
              <w:spacing w:after="15" w:line="248" w:lineRule="auto"/>
              <w:ind w:right="722"/>
            </w:pPr>
            <w:r>
              <w:rPr>
                <w:sz w:val="24"/>
              </w:rPr>
              <w:t xml:space="preserve">Please note that all evidence submitted will be treated as confidential and will only be shared with staff who require access as part of the deferral process. This includes the matched </w:t>
            </w:r>
            <w:r w:rsidR="002E1AD7">
              <w:rPr>
                <w:sz w:val="24"/>
              </w:rPr>
              <w:t xml:space="preserve">employer </w:t>
            </w:r>
            <w:r>
              <w:rPr>
                <w:sz w:val="24"/>
              </w:rPr>
              <w:t xml:space="preserve">or any prospective </w:t>
            </w:r>
            <w:r w:rsidR="002E1AD7">
              <w:rPr>
                <w:sz w:val="24"/>
              </w:rPr>
              <w:t>employers</w:t>
            </w:r>
            <w:r>
              <w:rPr>
                <w:sz w:val="24"/>
              </w:rPr>
              <w:t xml:space="preserve"> the NES Pharmacy Team may be required to contact to make alternative arrangements. </w:t>
            </w:r>
            <w:r>
              <w:rPr>
                <w:rFonts w:ascii="Times New Roman" w:eastAsia="Times New Roman" w:hAnsi="Times New Roman" w:cs="Times New Roman"/>
                <w:sz w:val="24"/>
              </w:rPr>
              <w:t xml:space="preserve"> </w:t>
            </w:r>
          </w:p>
        </w:tc>
      </w:tr>
    </w:tbl>
    <w:p w14:paraId="2476AF68" w14:textId="77777777" w:rsidR="005755F8" w:rsidRDefault="00434DCB">
      <w:pPr>
        <w:spacing w:after="21"/>
        <w:jc w:val="both"/>
      </w:pPr>
      <w:r>
        <w:rPr>
          <w:color w:val="4472C4"/>
          <w:sz w:val="24"/>
        </w:rPr>
        <w:t xml:space="preserve"> </w:t>
      </w:r>
      <w:r>
        <w:rPr>
          <w:rFonts w:ascii="Segoe UI" w:eastAsia="Segoe UI" w:hAnsi="Segoe UI" w:cs="Segoe UI"/>
          <w:sz w:val="18"/>
        </w:rPr>
        <w:t xml:space="preserve"> </w:t>
      </w:r>
    </w:p>
    <w:p w14:paraId="7833F2E2" w14:textId="77777777" w:rsidR="005755F8" w:rsidRDefault="00434DCB">
      <w:pPr>
        <w:spacing w:after="0"/>
        <w:jc w:val="both"/>
      </w:pPr>
      <w:r>
        <w:rPr>
          <w:color w:val="4472C4"/>
          <w:sz w:val="24"/>
        </w:rPr>
        <w:t xml:space="preserve"> </w:t>
      </w:r>
      <w:r>
        <w:rPr>
          <w:rFonts w:ascii="Segoe UI" w:eastAsia="Segoe UI" w:hAnsi="Segoe UI" w:cs="Segoe UI"/>
          <w:sz w:val="18"/>
        </w:rPr>
        <w:t xml:space="preserve"> </w:t>
      </w:r>
    </w:p>
    <w:p w14:paraId="08E4ADBF" w14:textId="641B1D6E" w:rsidR="005755F8" w:rsidRPr="00C65BE2" w:rsidRDefault="005755F8" w:rsidP="00C65BE2">
      <w:pPr>
        <w:spacing w:line="278" w:lineRule="auto"/>
        <w:rPr>
          <w:color w:val="4472C4"/>
          <w:sz w:val="24"/>
        </w:rPr>
      </w:pPr>
    </w:p>
    <w:tbl>
      <w:tblPr>
        <w:tblStyle w:val="TableGrid"/>
        <w:tblW w:w="9009" w:type="dxa"/>
        <w:tblInd w:w="9" w:type="dxa"/>
        <w:tblCellMar>
          <w:top w:w="48" w:type="dxa"/>
          <w:left w:w="5" w:type="dxa"/>
          <w:right w:w="38" w:type="dxa"/>
        </w:tblCellMar>
        <w:tblLook w:val="04A0" w:firstRow="1" w:lastRow="0" w:firstColumn="1" w:lastColumn="0" w:noHBand="0" w:noVBand="1"/>
      </w:tblPr>
      <w:tblGrid>
        <w:gridCol w:w="9009"/>
      </w:tblGrid>
      <w:tr w:rsidR="005755F8" w14:paraId="5F6F53C8" w14:textId="77777777">
        <w:trPr>
          <w:trHeight w:val="613"/>
        </w:trPr>
        <w:tc>
          <w:tcPr>
            <w:tcW w:w="9009" w:type="dxa"/>
            <w:tcBorders>
              <w:top w:val="single" w:sz="6" w:space="0" w:color="000000"/>
              <w:left w:val="single" w:sz="6" w:space="0" w:color="000000"/>
              <w:bottom w:val="single" w:sz="6" w:space="0" w:color="000000"/>
              <w:right w:val="single" w:sz="6" w:space="0" w:color="000000"/>
            </w:tcBorders>
            <w:shd w:val="clear" w:color="auto" w:fill="DEEAF6"/>
          </w:tcPr>
          <w:p w14:paraId="47EA298A" w14:textId="77777777" w:rsidR="005755F8" w:rsidRDefault="00434DCB">
            <w:r>
              <w:rPr>
                <w:b/>
                <w:sz w:val="24"/>
              </w:rPr>
              <w:t>Decision Process</w:t>
            </w:r>
            <w:r>
              <w:rPr>
                <w:sz w:val="24"/>
              </w:rPr>
              <w:t xml:space="preserve"> </w:t>
            </w:r>
            <w:r>
              <w:rPr>
                <w:rFonts w:ascii="Times New Roman" w:eastAsia="Times New Roman" w:hAnsi="Times New Roman" w:cs="Times New Roman"/>
                <w:sz w:val="24"/>
              </w:rPr>
              <w:t xml:space="preserve"> </w:t>
            </w:r>
          </w:p>
          <w:p w14:paraId="7D4872F6" w14:textId="77777777" w:rsidR="005755F8" w:rsidRDefault="00434DCB">
            <w:r>
              <w:rPr>
                <w:sz w:val="24"/>
              </w:rPr>
              <w:t xml:space="preserve"> </w:t>
            </w:r>
            <w:r>
              <w:rPr>
                <w:rFonts w:ascii="Times New Roman" w:eastAsia="Times New Roman" w:hAnsi="Times New Roman" w:cs="Times New Roman"/>
                <w:sz w:val="24"/>
              </w:rPr>
              <w:t xml:space="preserve"> </w:t>
            </w:r>
          </w:p>
        </w:tc>
      </w:tr>
      <w:tr w:rsidR="005755F8" w14:paraId="42F437FC" w14:textId="77777777" w:rsidTr="00F22BE9">
        <w:trPr>
          <w:trHeight w:val="5922"/>
        </w:trPr>
        <w:tc>
          <w:tcPr>
            <w:tcW w:w="9009" w:type="dxa"/>
            <w:tcBorders>
              <w:top w:val="single" w:sz="6" w:space="0" w:color="000000"/>
              <w:left w:val="single" w:sz="6" w:space="0" w:color="000000"/>
              <w:bottom w:val="single" w:sz="6" w:space="0" w:color="000000"/>
              <w:right w:val="single" w:sz="6" w:space="0" w:color="000000"/>
            </w:tcBorders>
          </w:tcPr>
          <w:p w14:paraId="62D3B46D" w14:textId="7CC7F204" w:rsidR="005755F8" w:rsidRPr="00366806" w:rsidRDefault="00434DCB" w:rsidP="005908ED">
            <w:pPr>
              <w:rPr>
                <w:b/>
              </w:rPr>
            </w:pPr>
            <w:r>
              <w:rPr>
                <w:sz w:val="24"/>
              </w:rPr>
              <w:t>A panel comprising of two members will be convened to assess</w:t>
            </w:r>
            <w:r w:rsidR="00D42A5F">
              <w:rPr>
                <w:sz w:val="24"/>
              </w:rPr>
              <w:t xml:space="preserve"> </w:t>
            </w:r>
            <w:r>
              <w:rPr>
                <w:sz w:val="24"/>
              </w:rPr>
              <w:t xml:space="preserve">eligibility </w:t>
            </w:r>
            <w:r w:rsidR="002A2204">
              <w:rPr>
                <w:sz w:val="24"/>
              </w:rPr>
              <w:t xml:space="preserve">of </w:t>
            </w:r>
            <w:r w:rsidR="005B581A">
              <w:rPr>
                <w:sz w:val="24"/>
              </w:rPr>
              <w:t>your</w:t>
            </w:r>
            <w:r w:rsidR="002A2204">
              <w:rPr>
                <w:sz w:val="24"/>
              </w:rPr>
              <w:t xml:space="preserve"> request </w:t>
            </w:r>
            <w:r>
              <w:rPr>
                <w:sz w:val="24"/>
              </w:rPr>
              <w:t>against the above criteria and review the evidence submitted.</w:t>
            </w:r>
            <w:r w:rsidR="0048191F">
              <w:rPr>
                <w:sz w:val="24"/>
              </w:rPr>
              <w:t xml:space="preserve"> </w:t>
            </w:r>
            <w:r w:rsidR="0048191F" w:rsidRPr="00366806">
              <w:rPr>
                <w:b/>
                <w:bCs/>
                <w:sz w:val="24"/>
              </w:rPr>
              <w:t xml:space="preserve">A panel will review </w:t>
            </w:r>
            <w:r w:rsidR="00EF73A3" w:rsidRPr="00366806">
              <w:rPr>
                <w:b/>
                <w:bCs/>
                <w:sz w:val="24"/>
              </w:rPr>
              <w:t xml:space="preserve">your request </w:t>
            </w:r>
            <w:r w:rsidR="00366806" w:rsidRPr="00366806">
              <w:rPr>
                <w:b/>
                <w:bCs/>
                <w:sz w:val="24"/>
              </w:rPr>
              <w:t xml:space="preserve">and communicate the outcome </w:t>
            </w:r>
            <w:r w:rsidR="00EF73A3" w:rsidRPr="00366806">
              <w:rPr>
                <w:b/>
                <w:bCs/>
                <w:sz w:val="24"/>
              </w:rPr>
              <w:t>w</w:t>
            </w:r>
            <w:r w:rsidRPr="00366806">
              <w:rPr>
                <w:b/>
                <w:bCs/>
                <w:sz w:val="24"/>
              </w:rPr>
              <w:t>ithin 10 working days from receipt of your request</w:t>
            </w:r>
            <w:r w:rsidR="00366806" w:rsidRPr="00366806">
              <w:rPr>
                <w:b/>
                <w:bCs/>
                <w:sz w:val="24"/>
              </w:rPr>
              <w:t>.</w:t>
            </w:r>
          </w:p>
          <w:p w14:paraId="6EBD9648" w14:textId="77777777" w:rsidR="005755F8" w:rsidRDefault="00434DCB">
            <w:r>
              <w:rPr>
                <w:sz w:val="24"/>
              </w:rPr>
              <w:t xml:space="preserve">   </w:t>
            </w:r>
            <w:r>
              <w:rPr>
                <w:rFonts w:ascii="Times New Roman" w:eastAsia="Times New Roman" w:hAnsi="Times New Roman" w:cs="Times New Roman"/>
                <w:sz w:val="24"/>
              </w:rPr>
              <w:t xml:space="preserve"> </w:t>
            </w:r>
          </w:p>
          <w:p w14:paraId="7A3B3C71" w14:textId="5D1CCCCF" w:rsidR="005755F8" w:rsidRPr="000934B8" w:rsidRDefault="00434DCB">
            <w:pPr>
              <w:spacing w:after="17" w:line="254" w:lineRule="auto"/>
              <w:ind w:left="14" w:right="147"/>
              <w:jc w:val="both"/>
            </w:pPr>
            <w:r w:rsidRPr="000934B8">
              <w:rPr>
                <w:sz w:val="24"/>
              </w:rPr>
              <w:t xml:space="preserve">If </w:t>
            </w:r>
            <w:r w:rsidR="000038EE" w:rsidRPr="000934B8">
              <w:rPr>
                <w:sz w:val="24"/>
              </w:rPr>
              <w:t>the</w:t>
            </w:r>
            <w:r w:rsidRPr="000934B8">
              <w:rPr>
                <w:sz w:val="24"/>
              </w:rPr>
              <w:t xml:space="preserve"> application for a deferral is declined, </w:t>
            </w:r>
            <w:r w:rsidRPr="000934B8">
              <w:rPr>
                <w:b/>
                <w:sz w:val="24"/>
              </w:rPr>
              <w:t>you will be permitted to appeal the decision</w:t>
            </w:r>
            <w:r w:rsidRPr="000934B8">
              <w:rPr>
                <w:sz w:val="24"/>
              </w:rPr>
              <w:t xml:space="preserve"> with the Pharmacy Team. Appeals should be submitted </w:t>
            </w:r>
            <w:r w:rsidRPr="000934B8">
              <w:rPr>
                <w:b/>
                <w:sz w:val="24"/>
              </w:rPr>
              <w:t xml:space="preserve">within 10 working days from the moment you receive the outcome email </w:t>
            </w:r>
            <w:r w:rsidRPr="000934B8">
              <w:rPr>
                <w:sz w:val="24"/>
              </w:rPr>
              <w:t xml:space="preserve">and will only be considered where additional, new evidence is submitted, or you feel that due process was not adhered to.    </w:t>
            </w:r>
            <w:r w:rsidRPr="000934B8">
              <w:rPr>
                <w:rFonts w:ascii="Times New Roman" w:eastAsia="Times New Roman" w:hAnsi="Times New Roman" w:cs="Times New Roman"/>
                <w:sz w:val="24"/>
              </w:rPr>
              <w:t xml:space="preserve"> </w:t>
            </w:r>
          </w:p>
          <w:p w14:paraId="4D8AB7A8" w14:textId="77777777" w:rsidR="005755F8" w:rsidRPr="000934B8" w:rsidRDefault="00434DCB">
            <w:r w:rsidRPr="000934B8">
              <w:rPr>
                <w:sz w:val="24"/>
              </w:rPr>
              <w:t xml:space="preserve">   </w:t>
            </w:r>
            <w:r w:rsidRPr="000934B8">
              <w:rPr>
                <w:rFonts w:ascii="Times New Roman" w:eastAsia="Times New Roman" w:hAnsi="Times New Roman" w:cs="Times New Roman"/>
                <w:sz w:val="24"/>
              </w:rPr>
              <w:t xml:space="preserve"> </w:t>
            </w:r>
          </w:p>
          <w:p w14:paraId="5DB48491" w14:textId="77777777" w:rsidR="005755F8" w:rsidRPr="000934B8" w:rsidRDefault="00434DCB">
            <w:pPr>
              <w:spacing w:line="275" w:lineRule="auto"/>
              <w:jc w:val="both"/>
            </w:pPr>
            <w:r w:rsidRPr="000934B8">
              <w:rPr>
                <w:sz w:val="24"/>
              </w:rPr>
              <w:t xml:space="preserve">Where new evidence is not presented, </w:t>
            </w:r>
            <w:r w:rsidRPr="000934B8">
              <w:rPr>
                <w:b/>
                <w:sz w:val="24"/>
              </w:rPr>
              <w:t xml:space="preserve">the NES Pharmacy Team will inform you within 10 working days that your appeal will not be heard. </w:t>
            </w:r>
            <w:r w:rsidRPr="000934B8">
              <w:rPr>
                <w:sz w:val="24"/>
              </w:rPr>
              <w:t xml:space="preserve">   </w:t>
            </w:r>
            <w:r w:rsidRPr="000934B8">
              <w:rPr>
                <w:rFonts w:ascii="Times New Roman" w:eastAsia="Times New Roman" w:hAnsi="Times New Roman" w:cs="Times New Roman"/>
                <w:sz w:val="24"/>
              </w:rPr>
              <w:t xml:space="preserve"> </w:t>
            </w:r>
          </w:p>
          <w:p w14:paraId="714E9506" w14:textId="77777777" w:rsidR="005755F8" w:rsidRPr="000934B8" w:rsidRDefault="00434DCB">
            <w:r w:rsidRPr="000934B8">
              <w:rPr>
                <w:sz w:val="24"/>
              </w:rPr>
              <w:t xml:space="preserve">   </w:t>
            </w:r>
            <w:r w:rsidRPr="000934B8">
              <w:rPr>
                <w:rFonts w:ascii="Times New Roman" w:eastAsia="Times New Roman" w:hAnsi="Times New Roman" w:cs="Times New Roman"/>
                <w:sz w:val="24"/>
              </w:rPr>
              <w:t xml:space="preserve"> </w:t>
            </w:r>
          </w:p>
          <w:p w14:paraId="48C2FAB9" w14:textId="24896017" w:rsidR="000934B8" w:rsidRPr="00F22BE9" w:rsidRDefault="00434DCB">
            <w:pPr>
              <w:spacing w:after="14" w:line="254" w:lineRule="auto"/>
              <w:ind w:left="14" w:right="147"/>
              <w:jc w:val="both"/>
              <w:rPr>
                <w:b/>
                <w:sz w:val="24"/>
              </w:rPr>
            </w:pPr>
            <w:r w:rsidRPr="000934B8">
              <w:rPr>
                <w:sz w:val="24"/>
              </w:rPr>
              <w:t xml:space="preserve">New evidence should be forwarded to the Pharmacy team and will be reviewed by the appeal panel. </w:t>
            </w:r>
            <w:r w:rsidR="00962F8B" w:rsidRPr="00F22BE9">
              <w:rPr>
                <w:b/>
                <w:bCs/>
                <w:sz w:val="24"/>
              </w:rPr>
              <w:t xml:space="preserve">The outcome of the appeal will </w:t>
            </w:r>
            <w:r w:rsidR="00F22BE9" w:rsidRPr="00F22BE9">
              <w:rPr>
                <w:b/>
                <w:bCs/>
                <w:sz w:val="24"/>
              </w:rPr>
              <w:t>be communicated to you w</w:t>
            </w:r>
            <w:r w:rsidRPr="00F22BE9">
              <w:rPr>
                <w:b/>
                <w:bCs/>
                <w:sz w:val="24"/>
              </w:rPr>
              <w:t>ithin</w:t>
            </w:r>
            <w:r w:rsidRPr="00F22BE9">
              <w:rPr>
                <w:b/>
                <w:sz w:val="24"/>
              </w:rPr>
              <w:t xml:space="preserve"> 10 working days from receipt of your new evidence</w:t>
            </w:r>
            <w:r w:rsidR="00F22BE9" w:rsidRPr="00F22BE9">
              <w:rPr>
                <w:b/>
                <w:bCs/>
                <w:sz w:val="24"/>
              </w:rPr>
              <w:t>.</w:t>
            </w:r>
          </w:p>
          <w:p w14:paraId="179F9689" w14:textId="77777777" w:rsidR="000934B8" w:rsidRPr="000934B8" w:rsidRDefault="000934B8">
            <w:pPr>
              <w:spacing w:after="14" w:line="254" w:lineRule="auto"/>
              <w:ind w:left="14" w:right="147"/>
              <w:jc w:val="both"/>
              <w:rPr>
                <w:sz w:val="24"/>
              </w:rPr>
            </w:pPr>
          </w:p>
          <w:p w14:paraId="25B24455" w14:textId="364F5B8A" w:rsidR="005755F8" w:rsidRDefault="00434DCB" w:rsidP="00A6208A">
            <w:pPr>
              <w:spacing w:after="14" w:line="254" w:lineRule="auto"/>
              <w:ind w:left="14" w:right="147"/>
              <w:jc w:val="both"/>
            </w:pPr>
            <w:r w:rsidRPr="000934B8">
              <w:rPr>
                <w:sz w:val="24"/>
              </w:rPr>
              <w:t>The decision of the appeal panel will be final.</w:t>
            </w:r>
            <w:r>
              <w:rPr>
                <w:sz w:val="24"/>
              </w:rPr>
              <w:t xml:space="preserve">    </w:t>
            </w:r>
            <w:r>
              <w:rPr>
                <w:rFonts w:ascii="Times New Roman" w:eastAsia="Times New Roman" w:hAnsi="Times New Roman" w:cs="Times New Roman"/>
                <w:sz w:val="24"/>
              </w:rPr>
              <w:t xml:space="preserve"> </w:t>
            </w:r>
          </w:p>
        </w:tc>
      </w:tr>
    </w:tbl>
    <w:p w14:paraId="2E14A6D9" w14:textId="77777777" w:rsidR="005755F8" w:rsidRDefault="00434DCB">
      <w:pPr>
        <w:spacing w:after="0"/>
      </w:pPr>
      <w:r>
        <w:rPr>
          <w:color w:val="4472C4"/>
          <w:sz w:val="24"/>
        </w:rPr>
        <w:t xml:space="preserve"> </w:t>
      </w:r>
      <w:r>
        <w:rPr>
          <w:rFonts w:ascii="Segoe UI" w:eastAsia="Segoe UI" w:hAnsi="Segoe UI" w:cs="Segoe UI"/>
          <w:sz w:val="18"/>
        </w:rPr>
        <w:t xml:space="preserve"> </w:t>
      </w:r>
    </w:p>
    <w:tbl>
      <w:tblPr>
        <w:tblStyle w:val="TableGrid"/>
        <w:tblW w:w="9009" w:type="dxa"/>
        <w:tblInd w:w="9" w:type="dxa"/>
        <w:tblCellMar>
          <w:top w:w="46" w:type="dxa"/>
          <w:left w:w="5" w:type="dxa"/>
          <w:right w:w="384" w:type="dxa"/>
        </w:tblCellMar>
        <w:tblLook w:val="04A0" w:firstRow="1" w:lastRow="0" w:firstColumn="1" w:lastColumn="0" w:noHBand="0" w:noVBand="1"/>
      </w:tblPr>
      <w:tblGrid>
        <w:gridCol w:w="9009"/>
      </w:tblGrid>
      <w:tr w:rsidR="005755F8" w14:paraId="7C741E80" w14:textId="77777777">
        <w:trPr>
          <w:trHeight w:val="313"/>
        </w:trPr>
        <w:tc>
          <w:tcPr>
            <w:tcW w:w="9009" w:type="dxa"/>
            <w:tcBorders>
              <w:top w:val="single" w:sz="6" w:space="0" w:color="000000"/>
              <w:left w:val="single" w:sz="6" w:space="0" w:color="000000"/>
              <w:bottom w:val="single" w:sz="6" w:space="0" w:color="000000"/>
              <w:right w:val="single" w:sz="6" w:space="0" w:color="000000"/>
            </w:tcBorders>
            <w:shd w:val="clear" w:color="auto" w:fill="DEEAF6"/>
          </w:tcPr>
          <w:p w14:paraId="6951A6AD" w14:textId="77777777" w:rsidR="005755F8" w:rsidRDefault="00434DCB">
            <w:r>
              <w:rPr>
                <w:b/>
                <w:sz w:val="24"/>
              </w:rPr>
              <w:t>Outcomes</w:t>
            </w:r>
            <w:r>
              <w:rPr>
                <w:sz w:val="24"/>
              </w:rPr>
              <w:t xml:space="preserve"> </w:t>
            </w:r>
            <w:r>
              <w:rPr>
                <w:rFonts w:ascii="Times New Roman" w:eastAsia="Times New Roman" w:hAnsi="Times New Roman" w:cs="Times New Roman"/>
                <w:sz w:val="24"/>
              </w:rPr>
              <w:t xml:space="preserve"> </w:t>
            </w:r>
          </w:p>
        </w:tc>
      </w:tr>
      <w:tr w:rsidR="005755F8" w14:paraId="21CF1530" w14:textId="77777777" w:rsidTr="001F6DB0">
        <w:trPr>
          <w:trHeight w:val="1499"/>
        </w:trPr>
        <w:tc>
          <w:tcPr>
            <w:tcW w:w="9009" w:type="dxa"/>
            <w:tcBorders>
              <w:top w:val="single" w:sz="6" w:space="0" w:color="000000"/>
              <w:left w:val="single" w:sz="6" w:space="0" w:color="000000"/>
              <w:bottom w:val="single" w:sz="6" w:space="0" w:color="000000"/>
              <w:right w:val="single" w:sz="6" w:space="0" w:color="000000"/>
            </w:tcBorders>
          </w:tcPr>
          <w:p w14:paraId="0D96EAD1" w14:textId="63168F03" w:rsidR="005755F8" w:rsidRDefault="00434DCB" w:rsidP="001A084A">
            <w:pPr>
              <w:spacing w:after="27"/>
            </w:pPr>
            <w:r>
              <w:rPr>
                <w:b/>
                <w:sz w:val="24"/>
              </w:rPr>
              <w:t>Approval of request</w:t>
            </w:r>
            <w:r>
              <w:rPr>
                <w:sz w:val="24"/>
              </w:rPr>
              <w:t xml:space="preserve"> </w:t>
            </w:r>
            <w:r>
              <w:rPr>
                <w:rFonts w:ascii="Times New Roman" w:eastAsia="Times New Roman" w:hAnsi="Times New Roman" w:cs="Times New Roman"/>
                <w:sz w:val="24"/>
              </w:rPr>
              <w:t xml:space="preserve"> </w:t>
            </w:r>
          </w:p>
          <w:p w14:paraId="71BB0D78" w14:textId="77777777" w:rsidR="005755F8" w:rsidRDefault="00434DCB">
            <w:r>
              <w:rPr>
                <w:sz w:val="24"/>
              </w:rPr>
              <w:t xml:space="preserve"> </w:t>
            </w:r>
            <w:r>
              <w:rPr>
                <w:rFonts w:ascii="Times New Roman" w:eastAsia="Times New Roman" w:hAnsi="Times New Roman" w:cs="Times New Roman"/>
                <w:sz w:val="24"/>
              </w:rPr>
              <w:t xml:space="preserve"> </w:t>
            </w:r>
          </w:p>
          <w:p w14:paraId="3000A19E" w14:textId="7D0020C5" w:rsidR="005755F8" w:rsidRDefault="00434DCB">
            <w:pPr>
              <w:spacing w:after="6" w:line="256" w:lineRule="auto"/>
              <w:ind w:right="45"/>
              <w:jc w:val="both"/>
            </w:pPr>
            <w:r>
              <w:rPr>
                <w:sz w:val="24"/>
              </w:rPr>
              <w:t xml:space="preserve">If a candidate has their deferral request approved, the NES Pharmacy Team will explore </w:t>
            </w:r>
            <w:r w:rsidR="00E700A1">
              <w:rPr>
                <w:sz w:val="24"/>
              </w:rPr>
              <w:t xml:space="preserve">the capacity of </w:t>
            </w:r>
            <w:r>
              <w:rPr>
                <w:sz w:val="24"/>
              </w:rPr>
              <w:t xml:space="preserve">the </w:t>
            </w:r>
            <w:r w:rsidR="00FA40B2">
              <w:rPr>
                <w:sz w:val="24"/>
              </w:rPr>
              <w:t>matched</w:t>
            </w:r>
            <w:r>
              <w:rPr>
                <w:sz w:val="24"/>
              </w:rPr>
              <w:t xml:space="preserve"> </w:t>
            </w:r>
            <w:r w:rsidR="007D15D0">
              <w:rPr>
                <w:sz w:val="24"/>
              </w:rPr>
              <w:t>employer</w:t>
            </w:r>
            <w:r w:rsidR="00FA40B2">
              <w:rPr>
                <w:sz w:val="24"/>
              </w:rPr>
              <w:t xml:space="preserve"> </w:t>
            </w:r>
            <w:r>
              <w:rPr>
                <w:sz w:val="24"/>
              </w:rPr>
              <w:t xml:space="preserve">to support a deferral. </w:t>
            </w:r>
            <w:r>
              <w:rPr>
                <w:rFonts w:ascii="Times New Roman" w:eastAsia="Times New Roman" w:hAnsi="Times New Roman" w:cs="Times New Roman"/>
                <w:sz w:val="24"/>
              </w:rPr>
              <w:t xml:space="preserve"> </w:t>
            </w:r>
          </w:p>
          <w:p w14:paraId="2344E8F7" w14:textId="77777777" w:rsidR="005755F8" w:rsidRDefault="00434DCB">
            <w:r>
              <w:rPr>
                <w:sz w:val="24"/>
              </w:rPr>
              <w:t xml:space="preserve"> </w:t>
            </w:r>
            <w:r>
              <w:rPr>
                <w:rFonts w:ascii="Times New Roman" w:eastAsia="Times New Roman" w:hAnsi="Times New Roman" w:cs="Times New Roman"/>
                <w:sz w:val="24"/>
              </w:rPr>
              <w:t xml:space="preserve"> </w:t>
            </w:r>
          </w:p>
          <w:p w14:paraId="25AA18E9" w14:textId="7CE2E31E" w:rsidR="005755F8" w:rsidRDefault="00434DCB">
            <w:pPr>
              <w:spacing w:line="275" w:lineRule="auto"/>
              <w:jc w:val="both"/>
            </w:pPr>
            <w:r>
              <w:rPr>
                <w:sz w:val="24"/>
              </w:rPr>
              <w:t xml:space="preserve">It is important for the candidate to understand that it is ultimately the decision of </w:t>
            </w:r>
            <w:r w:rsidR="00C549D5">
              <w:rPr>
                <w:sz w:val="24"/>
              </w:rPr>
              <w:t xml:space="preserve">the </w:t>
            </w:r>
            <w:r w:rsidR="00CC2637">
              <w:rPr>
                <w:sz w:val="24"/>
              </w:rPr>
              <w:t>employer</w:t>
            </w:r>
            <w:r>
              <w:rPr>
                <w:sz w:val="24"/>
              </w:rPr>
              <w:t xml:space="preserve"> on whether they can accommodate a deferral request.  </w:t>
            </w:r>
            <w:r>
              <w:rPr>
                <w:rFonts w:ascii="Times New Roman" w:eastAsia="Times New Roman" w:hAnsi="Times New Roman" w:cs="Times New Roman"/>
                <w:sz w:val="24"/>
              </w:rPr>
              <w:t xml:space="preserve"> </w:t>
            </w:r>
          </w:p>
          <w:p w14:paraId="098A5992" w14:textId="77777777" w:rsidR="005755F8" w:rsidRDefault="00434DCB">
            <w:r>
              <w:rPr>
                <w:sz w:val="24"/>
              </w:rPr>
              <w:t xml:space="preserve"> </w:t>
            </w:r>
            <w:r>
              <w:rPr>
                <w:rFonts w:ascii="Times New Roman" w:eastAsia="Times New Roman" w:hAnsi="Times New Roman" w:cs="Times New Roman"/>
                <w:sz w:val="24"/>
              </w:rPr>
              <w:t xml:space="preserve"> </w:t>
            </w:r>
          </w:p>
          <w:p w14:paraId="2AC34818" w14:textId="49205DD5" w:rsidR="00E867E4" w:rsidRDefault="00434DCB" w:rsidP="00E867E4">
            <w:pPr>
              <w:spacing w:line="275" w:lineRule="auto"/>
              <w:jc w:val="both"/>
              <w:rPr>
                <w:rFonts w:ascii="Times New Roman" w:eastAsia="Times New Roman" w:hAnsi="Times New Roman" w:cs="Times New Roman"/>
                <w:sz w:val="24"/>
              </w:rPr>
            </w:pPr>
            <w:r>
              <w:rPr>
                <w:sz w:val="24"/>
              </w:rPr>
              <w:t xml:space="preserve">If the matched </w:t>
            </w:r>
            <w:r w:rsidR="00CC2637">
              <w:rPr>
                <w:sz w:val="24"/>
              </w:rPr>
              <w:t>employer</w:t>
            </w:r>
            <w:r>
              <w:rPr>
                <w:sz w:val="24"/>
              </w:rPr>
              <w:t xml:space="preserve"> is unable to accommodate the deferral request, the NES Pharmacy Team will review the </w:t>
            </w:r>
            <w:r w:rsidR="00F4461E">
              <w:rPr>
                <w:sz w:val="24"/>
              </w:rPr>
              <w:t>matched candidate</w:t>
            </w:r>
            <w:r>
              <w:rPr>
                <w:sz w:val="24"/>
              </w:rPr>
              <w:t>’s preference list to identify a</w:t>
            </w:r>
            <w:r w:rsidR="00E867E4">
              <w:rPr>
                <w:sz w:val="24"/>
              </w:rPr>
              <w:t xml:space="preserve"> prospective </w:t>
            </w:r>
            <w:r w:rsidR="00CC2637">
              <w:rPr>
                <w:sz w:val="24"/>
              </w:rPr>
              <w:t>employer</w:t>
            </w:r>
            <w:r w:rsidR="00E867E4">
              <w:rPr>
                <w:sz w:val="24"/>
              </w:rPr>
              <w:t xml:space="preserve"> who may consider a deferral. Preferences will be contacted in the </w:t>
            </w:r>
            <w:r w:rsidR="00F4461E">
              <w:rPr>
                <w:sz w:val="24"/>
              </w:rPr>
              <w:t>matched candidate’s</w:t>
            </w:r>
            <w:r w:rsidR="00E867E4">
              <w:rPr>
                <w:sz w:val="24"/>
              </w:rPr>
              <w:t xml:space="preserve"> original ranked order.  </w:t>
            </w:r>
            <w:r w:rsidR="00E867E4">
              <w:rPr>
                <w:rFonts w:ascii="Times New Roman" w:eastAsia="Times New Roman" w:hAnsi="Times New Roman" w:cs="Times New Roman"/>
                <w:sz w:val="24"/>
              </w:rPr>
              <w:t xml:space="preserve"> </w:t>
            </w:r>
          </w:p>
          <w:p w14:paraId="2457BCA2" w14:textId="77777777" w:rsidR="001F6DB0" w:rsidRDefault="001F6DB0" w:rsidP="00E867E4">
            <w:pPr>
              <w:spacing w:line="275" w:lineRule="auto"/>
              <w:jc w:val="both"/>
              <w:rPr>
                <w:rFonts w:ascii="Times New Roman" w:eastAsia="Times New Roman" w:hAnsi="Times New Roman" w:cs="Times New Roman"/>
                <w:sz w:val="24"/>
              </w:rPr>
            </w:pPr>
          </w:p>
          <w:p w14:paraId="43EA02AF" w14:textId="7B113373" w:rsidR="001F6DB0" w:rsidRDefault="001F6DB0" w:rsidP="001F6DB0">
            <w:pPr>
              <w:spacing w:line="275" w:lineRule="auto"/>
              <w:jc w:val="both"/>
            </w:pPr>
            <w:r>
              <w:rPr>
                <w:sz w:val="24"/>
              </w:rPr>
              <w:t xml:space="preserve">The NES Pharmacy Team will liaise with the </w:t>
            </w:r>
            <w:r w:rsidR="00674549">
              <w:rPr>
                <w:sz w:val="24"/>
              </w:rPr>
              <w:t>employers</w:t>
            </w:r>
            <w:r>
              <w:rPr>
                <w:sz w:val="24"/>
              </w:rPr>
              <w:t xml:space="preserve"> directly. Candidates should </w:t>
            </w:r>
            <w:r>
              <w:rPr>
                <w:b/>
                <w:sz w:val="24"/>
              </w:rPr>
              <w:t>not</w:t>
            </w:r>
            <w:r>
              <w:rPr>
                <w:sz w:val="24"/>
              </w:rPr>
              <w:t xml:space="preserve"> personally contact Training Providers.  </w:t>
            </w:r>
            <w:r>
              <w:rPr>
                <w:rFonts w:ascii="Times New Roman" w:eastAsia="Times New Roman" w:hAnsi="Times New Roman" w:cs="Times New Roman"/>
                <w:sz w:val="24"/>
              </w:rPr>
              <w:t xml:space="preserve"> </w:t>
            </w:r>
          </w:p>
          <w:p w14:paraId="0375C301" w14:textId="77777777" w:rsidR="001F6DB0" w:rsidRDefault="001F6DB0" w:rsidP="001F6DB0">
            <w:r>
              <w:rPr>
                <w:sz w:val="24"/>
              </w:rPr>
              <w:t xml:space="preserve"> </w:t>
            </w:r>
            <w:r>
              <w:rPr>
                <w:rFonts w:ascii="Times New Roman" w:eastAsia="Times New Roman" w:hAnsi="Times New Roman" w:cs="Times New Roman"/>
                <w:sz w:val="24"/>
              </w:rPr>
              <w:t xml:space="preserve"> </w:t>
            </w:r>
          </w:p>
          <w:p w14:paraId="1B9AEEFD" w14:textId="05DA7E8F" w:rsidR="005755F8" w:rsidRDefault="001F6DB0" w:rsidP="001F6DB0">
            <w:pPr>
              <w:spacing w:after="5" w:line="256" w:lineRule="auto"/>
              <w:ind w:right="51"/>
              <w:jc w:val="both"/>
            </w:pPr>
            <w:r>
              <w:rPr>
                <w:sz w:val="24"/>
              </w:rPr>
              <w:t xml:space="preserve">In the event none of the preferred </w:t>
            </w:r>
            <w:r w:rsidR="00674549">
              <w:rPr>
                <w:sz w:val="24"/>
              </w:rPr>
              <w:t>employers</w:t>
            </w:r>
            <w:r>
              <w:rPr>
                <w:sz w:val="24"/>
              </w:rPr>
              <w:t xml:space="preserve"> accept a deferred candidate, a further discussion will take place with the </w:t>
            </w:r>
            <w:r w:rsidR="00324495">
              <w:rPr>
                <w:sz w:val="24"/>
              </w:rPr>
              <w:t xml:space="preserve">matched </w:t>
            </w:r>
            <w:r>
              <w:rPr>
                <w:sz w:val="24"/>
              </w:rPr>
              <w:t xml:space="preserve">candidate, and the NES Pharmacy Team will explore options with other </w:t>
            </w:r>
            <w:r w:rsidR="009220FB">
              <w:rPr>
                <w:sz w:val="24"/>
              </w:rPr>
              <w:t>employers</w:t>
            </w:r>
            <w:r>
              <w:rPr>
                <w:sz w:val="24"/>
              </w:rPr>
              <w:t xml:space="preserve"> who may accept a deferred candidate in the following year.    </w:t>
            </w:r>
          </w:p>
        </w:tc>
      </w:tr>
      <w:tr w:rsidR="005755F8" w14:paraId="6D9B4CE0" w14:textId="77777777" w:rsidTr="00324495">
        <w:trPr>
          <w:trHeight w:val="4476"/>
        </w:trPr>
        <w:tc>
          <w:tcPr>
            <w:tcW w:w="9009" w:type="dxa"/>
            <w:tcBorders>
              <w:top w:val="single" w:sz="6" w:space="0" w:color="000000"/>
              <w:left w:val="single" w:sz="6" w:space="0" w:color="000000"/>
              <w:bottom w:val="single" w:sz="6" w:space="0" w:color="000000"/>
              <w:right w:val="single" w:sz="6" w:space="0" w:color="000000"/>
            </w:tcBorders>
          </w:tcPr>
          <w:p w14:paraId="6AD9BF6C" w14:textId="77777777" w:rsidR="005755F8" w:rsidRDefault="00434DCB">
            <w:r>
              <w:rPr>
                <w:sz w:val="24"/>
              </w:rPr>
              <w:t xml:space="preserve">Rejection of request </w:t>
            </w:r>
            <w:r>
              <w:rPr>
                <w:rFonts w:ascii="Times New Roman" w:eastAsia="Times New Roman" w:hAnsi="Times New Roman" w:cs="Times New Roman"/>
                <w:sz w:val="24"/>
              </w:rPr>
              <w:t xml:space="preserve"> </w:t>
            </w:r>
          </w:p>
          <w:p w14:paraId="3E918FBD" w14:textId="77777777" w:rsidR="005755F8" w:rsidRDefault="00434DCB">
            <w:r>
              <w:rPr>
                <w:sz w:val="24"/>
              </w:rPr>
              <w:t xml:space="preserve"> </w:t>
            </w:r>
            <w:r>
              <w:rPr>
                <w:rFonts w:ascii="Times New Roman" w:eastAsia="Times New Roman" w:hAnsi="Times New Roman" w:cs="Times New Roman"/>
                <w:sz w:val="24"/>
              </w:rPr>
              <w:t xml:space="preserve"> </w:t>
            </w:r>
          </w:p>
          <w:p w14:paraId="71442916" w14:textId="77777777" w:rsidR="005755F8" w:rsidRDefault="00434DCB">
            <w:pPr>
              <w:spacing w:line="274" w:lineRule="auto"/>
            </w:pPr>
            <w:r>
              <w:rPr>
                <w:b/>
                <w:sz w:val="24"/>
              </w:rPr>
              <w:t>The deferral request will be rejected if it does not meet any of the following criteria:</w:t>
            </w:r>
            <w:r>
              <w:rPr>
                <w:sz w:val="24"/>
              </w:rPr>
              <w:t xml:space="preserve"> </w:t>
            </w:r>
            <w:r>
              <w:rPr>
                <w:rFonts w:ascii="Times New Roman" w:eastAsia="Times New Roman" w:hAnsi="Times New Roman" w:cs="Times New Roman"/>
                <w:sz w:val="24"/>
              </w:rPr>
              <w:t xml:space="preserve"> </w:t>
            </w:r>
          </w:p>
          <w:p w14:paraId="5EE9329E" w14:textId="77777777" w:rsidR="005755F8" w:rsidRDefault="00434DCB">
            <w:r>
              <w:rPr>
                <w:sz w:val="24"/>
              </w:rPr>
              <w:t xml:space="preserve"> </w:t>
            </w:r>
            <w:r>
              <w:rPr>
                <w:rFonts w:ascii="Times New Roman" w:eastAsia="Times New Roman" w:hAnsi="Times New Roman" w:cs="Times New Roman"/>
                <w:sz w:val="24"/>
              </w:rPr>
              <w:t xml:space="preserve"> </w:t>
            </w:r>
          </w:p>
          <w:p w14:paraId="3347BA88" w14:textId="77777777" w:rsidR="005755F8" w:rsidRDefault="00434DCB">
            <w:pPr>
              <w:numPr>
                <w:ilvl w:val="0"/>
                <w:numId w:val="4"/>
              </w:numPr>
              <w:ind w:hanging="360"/>
            </w:pPr>
            <w:r>
              <w:rPr>
                <w:b/>
                <w:sz w:val="24"/>
              </w:rPr>
              <w:t>Statutory grounds are not met</w:t>
            </w:r>
            <w:r>
              <w:rPr>
                <w:sz w:val="24"/>
              </w:rPr>
              <w:t xml:space="preserve">  </w:t>
            </w:r>
          </w:p>
          <w:p w14:paraId="61CBB2CB" w14:textId="77777777" w:rsidR="005755F8" w:rsidRDefault="00434DCB">
            <w:pPr>
              <w:numPr>
                <w:ilvl w:val="0"/>
                <w:numId w:val="4"/>
              </w:numPr>
              <w:ind w:hanging="360"/>
            </w:pPr>
            <w:r>
              <w:rPr>
                <w:b/>
                <w:sz w:val="24"/>
              </w:rPr>
              <w:t>Insufficient evidence provided</w:t>
            </w:r>
            <w:r>
              <w:rPr>
                <w:sz w:val="24"/>
              </w:rPr>
              <w:t xml:space="preserve">  </w:t>
            </w:r>
          </w:p>
          <w:p w14:paraId="5E970936" w14:textId="39022E0B" w:rsidR="005755F8" w:rsidRDefault="00434DCB">
            <w:pPr>
              <w:numPr>
                <w:ilvl w:val="0"/>
                <w:numId w:val="4"/>
              </w:numPr>
              <w:spacing w:after="2"/>
              <w:ind w:hanging="360"/>
            </w:pPr>
            <w:r>
              <w:rPr>
                <w:b/>
                <w:sz w:val="24"/>
              </w:rPr>
              <w:t xml:space="preserve">No </w:t>
            </w:r>
            <w:r w:rsidR="009220FB">
              <w:rPr>
                <w:b/>
                <w:sz w:val="24"/>
              </w:rPr>
              <w:t>employer</w:t>
            </w:r>
            <w:r>
              <w:rPr>
                <w:b/>
                <w:sz w:val="24"/>
              </w:rPr>
              <w:t xml:space="preserve"> can accommodate the request</w:t>
            </w:r>
            <w:r>
              <w:rPr>
                <w:sz w:val="24"/>
              </w:rPr>
              <w:t xml:space="preserve">  </w:t>
            </w:r>
          </w:p>
          <w:p w14:paraId="634932EF" w14:textId="77777777" w:rsidR="005755F8" w:rsidRDefault="00434DCB">
            <w:r>
              <w:rPr>
                <w:sz w:val="24"/>
              </w:rPr>
              <w:t xml:space="preserve"> </w:t>
            </w:r>
            <w:r>
              <w:rPr>
                <w:rFonts w:ascii="Times New Roman" w:eastAsia="Times New Roman" w:hAnsi="Times New Roman" w:cs="Times New Roman"/>
                <w:sz w:val="24"/>
              </w:rPr>
              <w:t xml:space="preserve"> </w:t>
            </w:r>
          </w:p>
          <w:p w14:paraId="0A33DE42" w14:textId="2DF4146E" w:rsidR="005755F8" w:rsidRDefault="00434DCB">
            <w:pPr>
              <w:spacing w:line="265" w:lineRule="auto"/>
              <w:ind w:right="46"/>
              <w:jc w:val="both"/>
            </w:pPr>
            <w:r>
              <w:rPr>
                <w:sz w:val="24"/>
              </w:rPr>
              <w:t xml:space="preserve">If the request to defer the commencement of the training programme is rejected the </w:t>
            </w:r>
            <w:r w:rsidR="009A0AFD">
              <w:rPr>
                <w:sz w:val="24"/>
              </w:rPr>
              <w:t>matched candidate</w:t>
            </w:r>
            <w:r>
              <w:rPr>
                <w:sz w:val="24"/>
              </w:rPr>
              <w:t xml:space="preserve"> will be expected to begin in post on the original date of commencement. </w:t>
            </w:r>
            <w:r>
              <w:rPr>
                <w:rFonts w:ascii="Times New Roman" w:eastAsia="Times New Roman" w:hAnsi="Times New Roman" w:cs="Times New Roman"/>
                <w:sz w:val="24"/>
              </w:rPr>
              <w:t xml:space="preserve"> </w:t>
            </w:r>
            <w:r>
              <w:rPr>
                <w:sz w:val="24"/>
              </w:rPr>
              <w:t xml:space="preserve">The </w:t>
            </w:r>
            <w:r w:rsidR="009A0AFD">
              <w:rPr>
                <w:sz w:val="24"/>
              </w:rPr>
              <w:t>matched candidate</w:t>
            </w:r>
            <w:r>
              <w:rPr>
                <w:sz w:val="24"/>
              </w:rPr>
              <w:t xml:space="preserve"> is entitled to resign from the training programme </w:t>
            </w:r>
            <w:r w:rsidR="006418FD">
              <w:rPr>
                <w:sz w:val="24"/>
              </w:rPr>
              <w:t>and</w:t>
            </w:r>
            <w:r>
              <w:rPr>
                <w:sz w:val="24"/>
              </w:rPr>
              <w:t xml:space="preserve"> depending on timing of the </w:t>
            </w:r>
            <w:r w:rsidR="00595470">
              <w:rPr>
                <w:sz w:val="24"/>
              </w:rPr>
              <w:t>re</w:t>
            </w:r>
            <w:r w:rsidR="00F5350E">
              <w:rPr>
                <w:sz w:val="24"/>
              </w:rPr>
              <w:t>signation</w:t>
            </w:r>
            <w:r w:rsidR="00595470">
              <w:rPr>
                <w:sz w:val="24"/>
              </w:rPr>
              <w:t xml:space="preserve"> </w:t>
            </w:r>
            <w:r w:rsidR="00400B39">
              <w:rPr>
                <w:sz w:val="24"/>
              </w:rPr>
              <w:t>w</w:t>
            </w:r>
            <w:r w:rsidR="005965A2">
              <w:rPr>
                <w:sz w:val="24"/>
              </w:rPr>
              <w:t>ould</w:t>
            </w:r>
            <w:r w:rsidR="00400B39">
              <w:rPr>
                <w:sz w:val="24"/>
              </w:rPr>
              <w:t xml:space="preserve"> </w:t>
            </w:r>
            <w:r w:rsidR="000F0FF1">
              <w:rPr>
                <w:sz w:val="24"/>
              </w:rPr>
              <w:t>need to follow the empl</w:t>
            </w:r>
            <w:r w:rsidR="00A65771">
              <w:rPr>
                <w:sz w:val="24"/>
              </w:rPr>
              <w:t>o</w:t>
            </w:r>
            <w:r w:rsidR="000F0FF1">
              <w:rPr>
                <w:sz w:val="24"/>
              </w:rPr>
              <w:t>yer’s resignation process</w:t>
            </w:r>
            <w:r w:rsidR="00595470">
              <w:rPr>
                <w:sz w:val="24"/>
              </w:rPr>
              <w:t>.</w:t>
            </w:r>
          </w:p>
          <w:p w14:paraId="02E23EE1" w14:textId="77777777" w:rsidR="005755F8" w:rsidRDefault="00434DCB">
            <w:pPr>
              <w:spacing w:line="273" w:lineRule="auto"/>
              <w:jc w:val="both"/>
            </w:pPr>
            <w:r>
              <w:rPr>
                <w:sz w:val="24"/>
              </w:rPr>
              <w:t xml:space="preserve">The applicant would need to reapply in open competition to obtain an FTY post in the next recruiting training year. </w:t>
            </w:r>
            <w:r>
              <w:rPr>
                <w:rFonts w:ascii="Times New Roman" w:eastAsia="Times New Roman" w:hAnsi="Times New Roman" w:cs="Times New Roman"/>
                <w:sz w:val="24"/>
              </w:rPr>
              <w:t xml:space="preserve"> </w:t>
            </w:r>
          </w:p>
          <w:p w14:paraId="3C92FA5B" w14:textId="77777777" w:rsidR="005755F8" w:rsidRDefault="00434DCB">
            <w:r>
              <w:rPr>
                <w:sz w:val="24"/>
              </w:rPr>
              <w:t xml:space="preserve"> </w:t>
            </w:r>
            <w:r>
              <w:rPr>
                <w:rFonts w:ascii="Times New Roman" w:eastAsia="Times New Roman" w:hAnsi="Times New Roman" w:cs="Times New Roman"/>
                <w:sz w:val="24"/>
              </w:rPr>
              <w:t xml:space="preserve"> </w:t>
            </w:r>
          </w:p>
        </w:tc>
      </w:tr>
    </w:tbl>
    <w:p w14:paraId="79E119B8" w14:textId="77777777" w:rsidR="005755F8" w:rsidRDefault="00434DCB">
      <w:pPr>
        <w:spacing w:after="0"/>
      </w:pPr>
      <w:r>
        <w:rPr>
          <w:color w:val="4472C4"/>
          <w:sz w:val="24"/>
        </w:rPr>
        <w:t xml:space="preserve"> </w:t>
      </w:r>
    </w:p>
    <w:p w14:paraId="4BA49ADC" w14:textId="77777777" w:rsidR="005755F8" w:rsidRDefault="00434DCB">
      <w:pPr>
        <w:spacing w:after="158"/>
      </w:pPr>
      <w:r>
        <w:rPr>
          <w:rFonts w:ascii="Segoe UI" w:eastAsia="Segoe UI" w:hAnsi="Segoe UI" w:cs="Segoe UI"/>
          <w:sz w:val="18"/>
        </w:rPr>
        <w:t xml:space="preserve"> </w:t>
      </w:r>
    </w:p>
    <w:p w14:paraId="04D5BCDF" w14:textId="77777777" w:rsidR="005755F8" w:rsidRDefault="00434DCB">
      <w:r>
        <w:rPr>
          <w:rFonts w:ascii="Segoe UI" w:eastAsia="Segoe UI" w:hAnsi="Segoe UI" w:cs="Segoe UI"/>
          <w:sz w:val="18"/>
        </w:rPr>
        <w:t xml:space="preserve"> </w:t>
      </w:r>
    </w:p>
    <w:p w14:paraId="16BB6D6A" w14:textId="77777777" w:rsidR="005755F8" w:rsidRDefault="00434DCB">
      <w:pPr>
        <w:spacing w:after="158"/>
      </w:pPr>
      <w:r>
        <w:rPr>
          <w:rFonts w:ascii="Segoe UI" w:eastAsia="Segoe UI" w:hAnsi="Segoe UI" w:cs="Segoe UI"/>
          <w:sz w:val="18"/>
        </w:rPr>
        <w:t xml:space="preserve"> </w:t>
      </w:r>
    </w:p>
    <w:p w14:paraId="2F612A0A" w14:textId="77777777" w:rsidR="005755F8" w:rsidRDefault="00434DCB">
      <w:pPr>
        <w:spacing w:after="4" w:line="376" w:lineRule="auto"/>
        <w:ind w:right="8989"/>
        <w:jc w:val="both"/>
      </w:pPr>
      <w:r>
        <w:rPr>
          <w:rFonts w:ascii="Segoe UI" w:eastAsia="Segoe UI" w:hAnsi="Segoe UI" w:cs="Segoe UI"/>
          <w:sz w:val="18"/>
        </w:rPr>
        <w:t xml:space="preserve"> </w:t>
      </w:r>
      <w:r>
        <w:rPr>
          <w:color w:val="4472C4"/>
          <w:sz w:val="24"/>
        </w:rPr>
        <w:t xml:space="preserve"> </w:t>
      </w:r>
    </w:p>
    <w:p w14:paraId="3D9693C1" w14:textId="77777777" w:rsidR="005755F8" w:rsidRDefault="00434DCB">
      <w:pPr>
        <w:spacing w:after="0"/>
        <w:jc w:val="both"/>
      </w:pPr>
      <w:r>
        <w:rPr>
          <w:rFonts w:ascii="Segoe UI" w:eastAsia="Segoe UI" w:hAnsi="Segoe UI" w:cs="Segoe UI"/>
          <w:sz w:val="18"/>
        </w:rPr>
        <w:t xml:space="preserve"> </w:t>
      </w:r>
      <w:r>
        <w:rPr>
          <w:rFonts w:ascii="Segoe UI" w:eastAsia="Segoe UI" w:hAnsi="Segoe UI" w:cs="Segoe UI"/>
          <w:sz w:val="18"/>
        </w:rPr>
        <w:tab/>
        <w:t xml:space="preserve"> </w:t>
      </w:r>
    </w:p>
    <w:sectPr w:rsidR="005755F8">
      <w:pgSz w:w="11906" w:h="16838"/>
      <w:pgMar w:top="1447" w:right="1428" w:bottom="1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7D63" w14:textId="77777777" w:rsidR="004C0638" w:rsidRDefault="004C0638" w:rsidP="005908ED">
      <w:pPr>
        <w:spacing w:after="0" w:line="240" w:lineRule="auto"/>
      </w:pPr>
      <w:r>
        <w:separator/>
      </w:r>
    </w:p>
  </w:endnote>
  <w:endnote w:type="continuationSeparator" w:id="0">
    <w:p w14:paraId="06597902" w14:textId="77777777" w:rsidR="004C0638" w:rsidRDefault="004C0638" w:rsidP="005908ED">
      <w:pPr>
        <w:spacing w:after="0" w:line="240" w:lineRule="auto"/>
      </w:pPr>
      <w:r>
        <w:continuationSeparator/>
      </w:r>
    </w:p>
  </w:endnote>
  <w:endnote w:type="continuationNotice" w:id="1">
    <w:p w14:paraId="2FF22B96" w14:textId="77777777" w:rsidR="004C0638" w:rsidRDefault="004C0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2183C" w14:textId="77777777" w:rsidR="004C0638" w:rsidRDefault="004C0638" w:rsidP="005908ED">
      <w:pPr>
        <w:spacing w:after="0" w:line="240" w:lineRule="auto"/>
      </w:pPr>
      <w:r>
        <w:separator/>
      </w:r>
    </w:p>
  </w:footnote>
  <w:footnote w:type="continuationSeparator" w:id="0">
    <w:p w14:paraId="418965BB" w14:textId="77777777" w:rsidR="004C0638" w:rsidRDefault="004C0638" w:rsidP="005908ED">
      <w:pPr>
        <w:spacing w:after="0" w:line="240" w:lineRule="auto"/>
      </w:pPr>
      <w:r>
        <w:continuationSeparator/>
      </w:r>
    </w:p>
  </w:footnote>
  <w:footnote w:type="continuationNotice" w:id="1">
    <w:p w14:paraId="48EDE04F" w14:textId="77777777" w:rsidR="004C0638" w:rsidRDefault="004C06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0A42"/>
    <w:multiLevelType w:val="hybridMultilevel"/>
    <w:tmpl w:val="542A4C0C"/>
    <w:lvl w:ilvl="0" w:tplc="EE48C3D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9636DC">
      <w:start w:val="1"/>
      <w:numFmt w:val="bullet"/>
      <w:lvlText w:val="o"/>
      <w:lvlJc w:val="left"/>
      <w:pPr>
        <w:ind w:left="2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78B414">
      <w:start w:val="1"/>
      <w:numFmt w:val="bullet"/>
      <w:lvlText w:val="▪"/>
      <w:lvlJc w:val="left"/>
      <w:pPr>
        <w:ind w:left="28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DE9032">
      <w:start w:val="1"/>
      <w:numFmt w:val="bullet"/>
      <w:lvlText w:val="•"/>
      <w:lvlJc w:val="left"/>
      <w:pPr>
        <w:ind w:left="3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625CCA">
      <w:start w:val="1"/>
      <w:numFmt w:val="bullet"/>
      <w:lvlText w:val="o"/>
      <w:lvlJc w:val="left"/>
      <w:pPr>
        <w:ind w:left="4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366718">
      <w:start w:val="1"/>
      <w:numFmt w:val="bullet"/>
      <w:lvlText w:val="▪"/>
      <w:lvlJc w:val="left"/>
      <w:pPr>
        <w:ind w:left="50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1C1874">
      <w:start w:val="1"/>
      <w:numFmt w:val="bullet"/>
      <w:lvlText w:val="•"/>
      <w:lvlJc w:val="left"/>
      <w:pPr>
        <w:ind w:left="5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B617F6">
      <w:start w:val="1"/>
      <w:numFmt w:val="bullet"/>
      <w:lvlText w:val="o"/>
      <w:lvlJc w:val="left"/>
      <w:pPr>
        <w:ind w:left="6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A08AEE">
      <w:start w:val="1"/>
      <w:numFmt w:val="bullet"/>
      <w:lvlText w:val="▪"/>
      <w:lvlJc w:val="left"/>
      <w:pPr>
        <w:ind w:left="72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8F7B27"/>
    <w:multiLevelType w:val="hybridMultilevel"/>
    <w:tmpl w:val="94A8671C"/>
    <w:lvl w:ilvl="0" w:tplc="356A9190">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786C5C">
      <w:start w:val="1"/>
      <w:numFmt w:val="bullet"/>
      <w:lvlText w:val="o"/>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1EEFF8">
      <w:start w:val="1"/>
      <w:numFmt w:val="bullet"/>
      <w:lvlText w:val="▪"/>
      <w:lvlJc w:val="left"/>
      <w:pPr>
        <w:ind w:left="2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9C0744">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76C03A">
      <w:start w:val="1"/>
      <w:numFmt w:val="bullet"/>
      <w:lvlText w:val="o"/>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36D288">
      <w:start w:val="1"/>
      <w:numFmt w:val="bullet"/>
      <w:lvlText w:val="▪"/>
      <w:lvlJc w:val="left"/>
      <w:pPr>
        <w:ind w:left="5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F0DECC">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7ED21C">
      <w:start w:val="1"/>
      <w:numFmt w:val="bullet"/>
      <w:lvlText w:val="o"/>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3887F2">
      <w:start w:val="1"/>
      <w:numFmt w:val="bullet"/>
      <w:lvlText w:val="▪"/>
      <w:lvlJc w:val="left"/>
      <w:pPr>
        <w:ind w:left="72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EA440B"/>
    <w:multiLevelType w:val="hybridMultilevel"/>
    <w:tmpl w:val="5DCCD22E"/>
    <w:lvl w:ilvl="0" w:tplc="D10689E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7697C4">
      <w:start w:val="1"/>
      <w:numFmt w:val="bullet"/>
      <w:lvlText w:val="o"/>
      <w:lvlJc w:val="left"/>
      <w:pPr>
        <w:ind w:left="2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C0894C">
      <w:start w:val="1"/>
      <w:numFmt w:val="bullet"/>
      <w:lvlText w:val="▪"/>
      <w:lvlJc w:val="left"/>
      <w:pPr>
        <w:ind w:left="28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18EF6E">
      <w:start w:val="1"/>
      <w:numFmt w:val="bullet"/>
      <w:lvlText w:val="•"/>
      <w:lvlJc w:val="left"/>
      <w:pPr>
        <w:ind w:left="3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0E9B06">
      <w:start w:val="1"/>
      <w:numFmt w:val="bullet"/>
      <w:lvlText w:val="o"/>
      <w:lvlJc w:val="left"/>
      <w:pPr>
        <w:ind w:left="4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20D6CA">
      <w:start w:val="1"/>
      <w:numFmt w:val="bullet"/>
      <w:lvlText w:val="▪"/>
      <w:lvlJc w:val="left"/>
      <w:pPr>
        <w:ind w:left="50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BC1C28">
      <w:start w:val="1"/>
      <w:numFmt w:val="bullet"/>
      <w:lvlText w:val="•"/>
      <w:lvlJc w:val="left"/>
      <w:pPr>
        <w:ind w:left="5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4666D8">
      <w:start w:val="1"/>
      <w:numFmt w:val="bullet"/>
      <w:lvlText w:val="o"/>
      <w:lvlJc w:val="left"/>
      <w:pPr>
        <w:ind w:left="6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18234E">
      <w:start w:val="1"/>
      <w:numFmt w:val="bullet"/>
      <w:lvlText w:val="▪"/>
      <w:lvlJc w:val="left"/>
      <w:pPr>
        <w:ind w:left="72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DEB6A2F"/>
    <w:multiLevelType w:val="hybridMultilevel"/>
    <w:tmpl w:val="A2A896F4"/>
    <w:lvl w:ilvl="0" w:tplc="BB289AF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040326">
      <w:start w:val="1"/>
      <w:numFmt w:val="bullet"/>
      <w:lvlText w:val="o"/>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8CB640">
      <w:start w:val="1"/>
      <w:numFmt w:val="bullet"/>
      <w:lvlText w:val="▪"/>
      <w:lvlJc w:val="left"/>
      <w:pPr>
        <w:ind w:left="2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94B836">
      <w:start w:val="1"/>
      <w:numFmt w:val="bullet"/>
      <w:lvlText w:val="•"/>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2E215A">
      <w:start w:val="1"/>
      <w:numFmt w:val="bullet"/>
      <w:lvlText w:val="o"/>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C259D6">
      <w:start w:val="1"/>
      <w:numFmt w:val="bullet"/>
      <w:lvlText w:val="▪"/>
      <w:lvlJc w:val="left"/>
      <w:pPr>
        <w:ind w:left="5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9A8510">
      <w:start w:val="1"/>
      <w:numFmt w:val="bullet"/>
      <w:lvlText w:val="•"/>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ACF4AA">
      <w:start w:val="1"/>
      <w:numFmt w:val="bullet"/>
      <w:lvlText w:val="o"/>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A2D210">
      <w:start w:val="1"/>
      <w:numFmt w:val="bullet"/>
      <w:lvlText w:val="▪"/>
      <w:lvlJc w:val="left"/>
      <w:pPr>
        <w:ind w:left="72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3DB4A7C"/>
    <w:multiLevelType w:val="hybridMultilevel"/>
    <w:tmpl w:val="19CAE182"/>
    <w:lvl w:ilvl="0" w:tplc="811A270A">
      <w:numFmt w:val="bullet"/>
      <w:lvlText w:val=""/>
      <w:lvlJc w:val="left"/>
      <w:pPr>
        <w:ind w:left="2160" w:hanging="360"/>
      </w:pPr>
      <w:rPr>
        <w:rFonts w:ascii="Symbol" w:eastAsia="Courier New" w:hAnsi="Symbol" w:cs="Courier New" w:hint="default"/>
        <w:sz w:val="2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3DE7B42"/>
    <w:multiLevelType w:val="hybridMultilevel"/>
    <w:tmpl w:val="97122EF0"/>
    <w:lvl w:ilvl="0" w:tplc="BDC6EB3E">
      <w:start w:val="2"/>
      <w:numFmt w:val="bullet"/>
      <w:lvlText w:val="-"/>
      <w:lvlJc w:val="left"/>
      <w:pPr>
        <w:ind w:left="2160" w:hanging="360"/>
      </w:pPr>
      <w:rPr>
        <w:rFonts w:ascii="Calibri" w:eastAsiaTheme="minorHAnsi" w:hAnsi="Calibri" w:cs="Calibri" w:hint="default"/>
        <w:sz w:val="2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275525386">
    <w:abstractNumId w:val="3"/>
  </w:num>
  <w:num w:numId="2" w16cid:durableId="1788814128">
    <w:abstractNumId w:val="1"/>
  </w:num>
  <w:num w:numId="3" w16cid:durableId="1629316682">
    <w:abstractNumId w:val="2"/>
  </w:num>
  <w:num w:numId="4" w16cid:durableId="2129080283">
    <w:abstractNumId w:val="0"/>
  </w:num>
  <w:num w:numId="5" w16cid:durableId="2064793248">
    <w:abstractNumId w:val="4"/>
  </w:num>
  <w:num w:numId="6" w16cid:durableId="1461998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F8"/>
    <w:rsid w:val="000038EE"/>
    <w:rsid w:val="00025D85"/>
    <w:rsid w:val="0002749F"/>
    <w:rsid w:val="00036CFF"/>
    <w:rsid w:val="00074F17"/>
    <w:rsid w:val="00081644"/>
    <w:rsid w:val="000848CF"/>
    <w:rsid w:val="00091609"/>
    <w:rsid w:val="000934B8"/>
    <w:rsid w:val="00093E72"/>
    <w:rsid w:val="00095B55"/>
    <w:rsid w:val="000B2BEE"/>
    <w:rsid w:val="000E7098"/>
    <w:rsid w:val="000F0FF1"/>
    <w:rsid w:val="000F67F6"/>
    <w:rsid w:val="000F7838"/>
    <w:rsid w:val="00117BD4"/>
    <w:rsid w:val="00121733"/>
    <w:rsid w:val="00177856"/>
    <w:rsid w:val="00184A3F"/>
    <w:rsid w:val="00191B7C"/>
    <w:rsid w:val="001A084A"/>
    <w:rsid w:val="001A0914"/>
    <w:rsid w:val="001A2093"/>
    <w:rsid w:val="001C156E"/>
    <w:rsid w:val="001F32CC"/>
    <w:rsid w:val="001F6DB0"/>
    <w:rsid w:val="00204832"/>
    <w:rsid w:val="00245332"/>
    <w:rsid w:val="00251530"/>
    <w:rsid w:val="00251AC2"/>
    <w:rsid w:val="0025364F"/>
    <w:rsid w:val="002572D3"/>
    <w:rsid w:val="002576D3"/>
    <w:rsid w:val="0027534F"/>
    <w:rsid w:val="00276542"/>
    <w:rsid w:val="0028323C"/>
    <w:rsid w:val="00286ABD"/>
    <w:rsid w:val="00293D88"/>
    <w:rsid w:val="002A2204"/>
    <w:rsid w:val="002C4B97"/>
    <w:rsid w:val="002E1AD7"/>
    <w:rsid w:val="002E51FD"/>
    <w:rsid w:val="00317DFC"/>
    <w:rsid w:val="0032164B"/>
    <w:rsid w:val="00324495"/>
    <w:rsid w:val="00327AA5"/>
    <w:rsid w:val="003301FB"/>
    <w:rsid w:val="00346872"/>
    <w:rsid w:val="00366806"/>
    <w:rsid w:val="00377A9B"/>
    <w:rsid w:val="00380E68"/>
    <w:rsid w:val="003818D1"/>
    <w:rsid w:val="003A4C72"/>
    <w:rsid w:val="00400B39"/>
    <w:rsid w:val="00403A10"/>
    <w:rsid w:val="00434DCB"/>
    <w:rsid w:val="004411CE"/>
    <w:rsid w:val="00464994"/>
    <w:rsid w:val="00465570"/>
    <w:rsid w:val="00465E91"/>
    <w:rsid w:val="00470433"/>
    <w:rsid w:val="004729B3"/>
    <w:rsid w:val="0048191F"/>
    <w:rsid w:val="00484D3A"/>
    <w:rsid w:val="004A42E9"/>
    <w:rsid w:val="004A42F5"/>
    <w:rsid w:val="004B4F8A"/>
    <w:rsid w:val="004C0638"/>
    <w:rsid w:val="00544443"/>
    <w:rsid w:val="00550D86"/>
    <w:rsid w:val="00563930"/>
    <w:rsid w:val="00567772"/>
    <w:rsid w:val="005755F8"/>
    <w:rsid w:val="005908ED"/>
    <w:rsid w:val="005919DD"/>
    <w:rsid w:val="00595470"/>
    <w:rsid w:val="005965A2"/>
    <w:rsid w:val="005A0D94"/>
    <w:rsid w:val="005A7932"/>
    <w:rsid w:val="005B2CF0"/>
    <w:rsid w:val="005B581A"/>
    <w:rsid w:val="005B6DD5"/>
    <w:rsid w:val="005D2315"/>
    <w:rsid w:val="005E6405"/>
    <w:rsid w:val="00614C35"/>
    <w:rsid w:val="00621F30"/>
    <w:rsid w:val="00640F2E"/>
    <w:rsid w:val="006418FD"/>
    <w:rsid w:val="006445C9"/>
    <w:rsid w:val="00653996"/>
    <w:rsid w:val="00670DCA"/>
    <w:rsid w:val="00674549"/>
    <w:rsid w:val="0068206F"/>
    <w:rsid w:val="00686567"/>
    <w:rsid w:val="006867BA"/>
    <w:rsid w:val="006A1F37"/>
    <w:rsid w:val="006A62A4"/>
    <w:rsid w:val="006B6080"/>
    <w:rsid w:val="006C03C8"/>
    <w:rsid w:val="0076014D"/>
    <w:rsid w:val="00767074"/>
    <w:rsid w:val="0077173E"/>
    <w:rsid w:val="007C067A"/>
    <w:rsid w:val="007D15D0"/>
    <w:rsid w:val="007D79CE"/>
    <w:rsid w:val="007E5138"/>
    <w:rsid w:val="00875802"/>
    <w:rsid w:val="008A7B17"/>
    <w:rsid w:val="008C0D22"/>
    <w:rsid w:val="008D707E"/>
    <w:rsid w:val="00901F8E"/>
    <w:rsid w:val="009220FB"/>
    <w:rsid w:val="00923AE2"/>
    <w:rsid w:val="00936C4A"/>
    <w:rsid w:val="00962B1C"/>
    <w:rsid w:val="00962F8B"/>
    <w:rsid w:val="00977A9F"/>
    <w:rsid w:val="009943F6"/>
    <w:rsid w:val="009A0AFD"/>
    <w:rsid w:val="009C6C20"/>
    <w:rsid w:val="009C6D1D"/>
    <w:rsid w:val="009D08C4"/>
    <w:rsid w:val="009E4EAE"/>
    <w:rsid w:val="009E727D"/>
    <w:rsid w:val="009F4F2A"/>
    <w:rsid w:val="00A245BD"/>
    <w:rsid w:val="00A47002"/>
    <w:rsid w:val="00A60C25"/>
    <w:rsid w:val="00A6208A"/>
    <w:rsid w:val="00A6383C"/>
    <w:rsid w:val="00A65771"/>
    <w:rsid w:val="00A70EAB"/>
    <w:rsid w:val="00A72EE3"/>
    <w:rsid w:val="00AA2172"/>
    <w:rsid w:val="00AA3D31"/>
    <w:rsid w:val="00AB4E14"/>
    <w:rsid w:val="00B26345"/>
    <w:rsid w:val="00B423AA"/>
    <w:rsid w:val="00B702C1"/>
    <w:rsid w:val="00B84B35"/>
    <w:rsid w:val="00BB2CCB"/>
    <w:rsid w:val="00BE480F"/>
    <w:rsid w:val="00C23D65"/>
    <w:rsid w:val="00C549D5"/>
    <w:rsid w:val="00C601CF"/>
    <w:rsid w:val="00C65BE2"/>
    <w:rsid w:val="00C74BFD"/>
    <w:rsid w:val="00CA6436"/>
    <w:rsid w:val="00CB6C15"/>
    <w:rsid w:val="00CC015D"/>
    <w:rsid w:val="00CC2637"/>
    <w:rsid w:val="00CD7A0F"/>
    <w:rsid w:val="00CD7DCD"/>
    <w:rsid w:val="00CE7F33"/>
    <w:rsid w:val="00D32872"/>
    <w:rsid w:val="00D42A5F"/>
    <w:rsid w:val="00D47F86"/>
    <w:rsid w:val="00D626E5"/>
    <w:rsid w:val="00DB41A6"/>
    <w:rsid w:val="00E03010"/>
    <w:rsid w:val="00E06C9B"/>
    <w:rsid w:val="00E06DB1"/>
    <w:rsid w:val="00E10765"/>
    <w:rsid w:val="00E340BE"/>
    <w:rsid w:val="00E36CB2"/>
    <w:rsid w:val="00E46D76"/>
    <w:rsid w:val="00E53416"/>
    <w:rsid w:val="00E63F27"/>
    <w:rsid w:val="00E700A1"/>
    <w:rsid w:val="00E71373"/>
    <w:rsid w:val="00E85B52"/>
    <w:rsid w:val="00E867E4"/>
    <w:rsid w:val="00EA78F1"/>
    <w:rsid w:val="00EF1D09"/>
    <w:rsid w:val="00EF73A3"/>
    <w:rsid w:val="00EF7C19"/>
    <w:rsid w:val="00F06171"/>
    <w:rsid w:val="00F10F66"/>
    <w:rsid w:val="00F22BE9"/>
    <w:rsid w:val="00F42060"/>
    <w:rsid w:val="00F4461E"/>
    <w:rsid w:val="00F450B0"/>
    <w:rsid w:val="00F4512A"/>
    <w:rsid w:val="00F5350E"/>
    <w:rsid w:val="00F55A8E"/>
    <w:rsid w:val="00F571FA"/>
    <w:rsid w:val="00F72358"/>
    <w:rsid w:val="00F729CE"/>
    <w:rsid w:val="00F760B6"/>
    <w:rsid w:val="00F817E4"/>
    <w:rsid w:val="00FA27E5"/>
    <w:rsid w:val="00FA40B2"/>
    <w:rsid w:val="00FB6541"/>
    <w:rsid w:val="00FF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8814"/>
  <w15:docId w15:val="{CBA8543F-B139-476D-8048-5DC8C383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5364F"/>
    <w:pPr>
      <w:ind w:left="720"/>
      <w:contextualSpacing/>
    </w:pPr>
  </w:style>
  <w:style w:type="character" w:styleId="CommentReference">
    <w:name w:val="annotation reference"/>
    <w:basedOn w:val="DefaultParagraphFont"/>
    <w:uiPriority w:val="99"/>
    <w:semiHidden/>
    <w:unhideWhenUsed/>
    <w:rsid w:val="00245332"/>
    <w:rPr>
      <w:sz w:val="16"/>
      <w:szCs w:val="16"/>
    </w:rPr>
  </w:style>
  <w:style w:type="paragraph" w:styleId="CommentText">
    <w:name w:val="annotation text"/>
    <w:basedOn w:val="Normal"/>
    <w:link w:val="CommentTextChar"/>
    <w:uiPriority w:val="99"/>
    <w:unhideWhenUsed/>
    <w:rsid w:val="00245332"/>
    <w:pPr>
      <w:spacing w:line="240" w:lineRule="auto"/>
    </w:pPr>
    <w:rPr>
      <w:sz w:val="20"/>
      <w:szCs w:val="20"/>
    </w:rPr>
  </w:style>
  <w:style w:type="character" w:customStyle="1" w:styleId="CommentTextChar">
    <w:name w:val="Comment Text Char"/>
    <w:basedOn w:val="DefaultParagraphFont"/>
    <w:link w:val="CommentText"/>
    <w:uiPriority w:val="99"/>
    <w:rsid w:val="0024533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45332"/>
    <w:rPr>
      <w:b/>
      <w:bCs/>
    </w:rPr>
  </w:style>
  <w:style w:type="character" w:customStyle="1" w:styleId="CommentSubjectChar">
    <w:name w:val="Comment Subject Char"/>
    <w:basedOn w:val="CommentTextChar"/>
    <w:link w:val="CommentSubject"/>
    <w:uiPriority w:val="99"/>
    <w:semiHidden/>
    <w:rsid w:val="00245332"/>
    <w:rPr>
      <w:rFonts w:ascii="Calibri" w:eastAsia="Calibri" w:hAnsi="Calibri" w:cs="Calibri"/>
      <w:b/>
      <w:bCs/>
      <w:color w:val="000000"/>
      <w:sz w:val="20"/>
      <w:szCs w:val="20"/>
    </w:rPr>
  </w:style>
  <w:style w:type="character" w:styleId="Hyperlink">
    <w:name w:val="Hyperlink"/>
    <w:basedOn w:val="DefaultParagraphFont"/>
    <w:uiPriority w:val="99"/>
    <w:unhideWhenUsed/>
    <w:rsid w:val="00465570"/>
    <w:rPr>
      <w:color w:val="467886" w:themeColor="hyperlink"/>
      <w:u w:val="single"/>
    </w:rPr>
  </w:style>
  <w:style w:type="character" w:styleId="UnresolvedMention">
    <w:name w:val="Unresolved Mention"/>
    <w:basedOn w:val="DefaultParagraphFont"/>
    <w:uiPriority w:val="99"/>
    <w:semiHidden/>
    <w:unhideWhenUsed/>
    <w:rsid w:val="00465570"/>
    <w:rPr>
      <w:color w:val="605E5C"/>
      <w:shd w:val="clear" w:color="auto" w:fill="E1DFDD"/>
    </w:rPr>
  </w:style>
  <w:style w:type="paragraph" w:styleId="Header">
    <w:name w:val="header"/>
    <w:basedOn w:val="Normal"/>
    <w:link w:val="HeaderChar"/>
    <w:uiPriority w:val="99"/>
    <w:unhideWhenUsed/>
    <w:rsid w:val="00590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8ED"/>
    <w:rPr>
      <w:rFonts w:ascii="Calibri" w:eastAsia="Calibri" w:hAnsi="Calibri" w:cs="Calibri"/>
      <w:color w:val="000000"/>
      <w:sz w:val="22"/>
    </w:rPr>
  </w:style>
  <w:style w:type="paragraph" w:styleId="Footer">
    <w:name w:val="footer"/>
    <w:basedOn w:val="Normal"/>
    <w:link w:val="FooterChar"/>
    <w:uiPriority w:val="99"/>
    <w:unhideWhenUsed/>
    <w:rsid w:val="00590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8ED"/>
    <w:rPr>
      <w:rFonts w:ascii="Calibri" w:eastAsia="Calibri" w:hAnsi="Calibri" w:cs="Calibri"/>
      <w:color w:val="000000"/>
      <w:sz w:val="22"/>
    </w:rPr>
  </w:style>
  <w:style w:type="paragraph" w:styleId="Revision">
    <w:name w:val="Revision"/>
    <w:hidden/>
    <w:uiPriority w:val="99"/>
    <w:semiHidden/>
    <w:rsid w:val="00E06DB1"/>
    <w:pPr>
      <w:spacing w:after="0" w:line="240" w:lineRule="auto"/>
    </w:pPr>
    <w:rPr>
      <w:rFonts w:ascii="Calibri" w:eastAsia="Calibri" w:hAnsi="Calibri" w:cs="Calibri"/>
      <w:color w:val="000000"/>
      <w:sz w:val="22"/>
    </w:rPr>
  </w:style>
  <w:style w:type="character" w:styleId="Mention">
    <w:name w:val="Mention"/>
    <w:basedOn w:val="DefaultParagraphFont"/>
    <w:uiPriority w:val="99"/>
    <w:unhideWhenUsed/>
    <w:rsid w:val="00E06D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8987">
      <w:bodyDiv w:val="1"/>
      <w:marLeft w:val="0"/>
      <w:marRight w:val="0"/>
      <w:marTop w:val="0"/>
      <w:marBottom w:val="0"/>
      <w:divBdr>
        <w:top w:val="none" w:sz="0" w:space="0" w:color="auto"/>
        <w:left w:val="none" w:sz="0" w:space="0" w:color="auto"/>
        <w:bottom w:val="none" w:sz="0" w:space="0" w:color="auto"/>
        <w:right w:val="none" w:sz="0" w:space="0" w:color="auto"/>
      </w:divBdr>
    </w:div>
    <w:div w:id="82535745">
      <w:bodyDiv w:val="1"/>
      <w:marLeft w:val="0"/>
      <w:marRight w:val="0"/>
      <w:marTop w:val="0"/>
      <w:marBottom w:val="0"/>
      <w:divBdr>
        <w:top w:val="none" w:sz="0" w:space="0" w:color="auto"/>
        <w:left w:val="none" w:sz="0" w:space="0" w:color="auto"/>
        <w:bottom w:val="none" w:sz="0" w:space="0" w:color="auto"/>
        <w:right w:val="none" w:sz="0" w:space="0" w:color="auto"/>
      </w:divBdr>
    </w:div>
    <w:div w:id="213586025">
      <w:bodyDiv w:val="1"/>
      <w:marLeft w:val="0"/>
      <w:marRight w:val="0"/>
      <w:marTop w:val="0"/>
      <w:marBottom w:val="0"/>
      <w:divBdr>
        <w:top w:val="none" w:sz="0" w:space="0" w:color="auto"/>
        <w:left w:val="none" w:sz="0" w:space="0" w:color="auto"/>
        <w:bottom w:val="none" w:sz="0" w:space="0" w:color="auto"/>
        <w:right w:val="none" w:sz="0" w:space="0" w:color="auto"/>
      </w:divBdr>
    </w:div>
    <w:div w:id="1686637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s.ftypharmacy@nhs.scot" TargetMode="External"/><Relationship Id="rId5" Type="http://schemas.openxmlformats.org/officeDocument/2006/relationships/styles" Target="styles.xml"/><Relationship Id="rId10" Type="http://schemas.openxmlformats.org/officeDocument/2006/relationships/hyperlink" Target="mailto:nes.ftypharmacy@nhs.sco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0c3af4da-bd1d-4c5b-8771-410728c8cfd0">
      <Url xsi:nil="true"/>
      <Description xsi:nil="true"/>
    </Link>
    <lcf76f155ced4ddcb4097134ff3c332f xmlns="0c3af4da-bd1d-4c5b-8771-410728c8cfd0">
      <Terms xmlns="http://schemas.microsoft.com/office/infopath/2007/PartnerControls"/>
    </lcf76f155ced4ddcb4097134ff3c332f>
    <TaxCatchAll xmlns="29bbecef-45c3-4432-b48a-b9222159e5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F893E0A1B15442A2089AE8ECA0BE17" ma:contentTypeVersion="19" ma:contentTypeDescription="Create a new document." ma:contentTypeScope="" ma:versionID="097c72868845c3fff99ed4a86f0be6bd">
  <xsd:schema xmlns:xsd="http://www.w3.org/2001/XMLSchema" xmlns:xs="http://www.w3.org/2001/XMLSchema" xmlns:p="http://schemas.microsoft.com/office/2006/metadata/properties" xmlns:ns2="0c3af4da-bd1d-4c5b-8771-410728c8cfd0" xmlns:ns3="29bbecef-45c3-4432-b48a-b9222159e595" targetNamespace="http://schemas.microsoft.com/office/2006/metadata/properties" ma:root="true" ma:fieldsID="5c9e39a6922733bbc3619615c8a9d307" ns2:_="" ns3:_="">
    <xsd:import namespace="0c3af4da-bd1d-4c5b-8771-410728c8cfd0"/>
    <xsd:import namespace="29bbecef-45c3-4432-b48a-b9222159e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af4da-bd1d-4c5b-8771-410728c8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becef-45c3-4432-b48a-b9222159e5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ca5327-11c6-44eb-8fc2-5750450cc096}" ma:internalName="TaxCatchAll" ma:showField="CatchAllData" ma:web="29bbecef-45c3-4432-b48a-b9222159e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77B8F-B122-45B7-9D1B-00F88B037D62}">
  <ds:schemaRefs>
    <ds:schemaRef ds:uri="http://schemas.microsoft.com/sharepoint/v3/contenttype/forms"/>
  </ds:schemaRefs>
</ds:datastoreItem>
</file>

<file path=customXml/itemProps2.xml><?xml version="1.0" encoding="utf-8"?>
<ds:datastoreItem xmlns:ds="http://schemas.openxmlformats.org/officeDocument/2006/customXml" ds:itemID="{DA09AB3E-631B-4A22-80AA-E1323ACDD478}">
  <ds:schemaRefs>
    <ds:schemaRef ds:uri="http://schemas.microsoft.com/office/2006/metadata/properties"/>
    <ds:schemaRef ds:uri="http://schemas.microsoft.com/office/infopath/2007/PartnerControls"/>
    <ds:schemaRef ds:uri="0c3af4da-bd1d-4c5b-8771-410728c8cfd0"/>
    <ds:schemaRef ds:uri="29bbecef-45c3-4432-b48a-b9222159e595"/>
  </ds:schemaRefs>
</ds:datastoreItem>
</file>

<file path=customXml/itemProps3.xml><?xml version="1.0" encoding="utf-8"?>
<ds:datastoreItem xmlns:ds="http://schemas.openxmlformats.org/officeDocument/2006/customXml" ds:itemID="{C19B116D-149F-4054-8D61-F2689FB26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af4da-bd1d-4c5b-8771-410728c8cfd0"/>
    <ds:schemaRef ds:uri="29bbecef-45c3-4432-b48a-b9222159e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939</Words>
  <Characters>5148</Characters>
  <Application>Microsoft Office Word</Application>
  <DocSecurity>0</DocSecurity>
  <Lines>147</Lines>
  <Paragraphs>60</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6027</CharactersWithSpaces>
  <SharedDoc>false</SharedDoc>
  <HLinks>
    <vt:vector size="12" baseType="variant">
      <vt:variant>
        <vt:i4>6488079</vt:i4>
      </vt:variant>
      <vt:variant>
        <vt:i4>3</vt:i4>
      </vt:variant>
      <vt:variant>
        <vt:i4>0</vt:i4>
      </vt:variant>
      <vt:variant>
        <vt:i4>5</vt:i4>
      </vt:variant>
      <vt:variant>
        <vt:lpwstr>mailto:nes.ftypharmacy@nhs.scot</vt:lpwstr>
      </vt:variant>
      <vt:variant>
        <vt:lpwstr/>
      </vt:variant>
      <vt:variant>
        <vt:i4>6488079</vt:i4>
      </vt:variant>
      <vt:variant>
        <vt:i4>0</vt:i4>
      </vt:variant>
      <vt:variant>
        <vt:i4>0</vt:i4>
      </vt:variant>
      <vt:variant>
        <vt:i4>5</vt:i4>
      </vt:variant>
      <vt:variant>
        <vt:lpwstr>mailto:nes.ftypharmacy@nhs.scot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Gupta</dc:creator>
  <cp:keywords/>
  <cp:lastModifiedBy>Andrea Pritchard</cp:lastModifiedBy>
  <cp:revision>2</cp:revision>
  <dcterms:created xsi:type="dcterms:W3CDTF">2025-12-19T15:16:00Z</dcterms:created>
  <dcterms:modified xsi:type="dcterms:W3CDTF">2025-12-19T15:16:00Z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0x0101000AF893E0A1B15442A2089AE8ECA0BE17</vt:lpwstr>
  </property>
  <property fmtid="{D5CDD505-2E9C-101B-9397-08002B2CF9AE}" pid="3" name="MediaServiceImageTags">
    <vt:lpwstr/>
  </property>
</Properties>
</file>