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2D6" w:rsidRPr="00FB02D6" w:rsidRDefault="00FB02D6" w:rsidP="00FB02D6">
      <w:pPr>
        <w:spacing w:line="300" w:lineRule="auto"/>
        <w:jc w:val="center"/>
        <w:rPr>
          <w:rFonts w:asciiTheme="minorHAnsi" w:hAnsiTheme="minorHAnsi" w:cstheme="minorHAnsi"/>
          <w:b/>
          <w:color w:val="000000"/>
        </w:rPr>
      </w:pPr>
      <w:r w:rsidRPr="00FB02D6">
        <w:rPr>
          <w:rFonts w:asciiTheme="minorHAnsi" w:hAnsiTheme="minorHAnsi" w:cstheme="minorHAnsi"/>
          <w:b/>
          <w:color w:val="000000"/>
        </w:rPr>
        <w:t>NHS Education for Scotland</w:t>
      </w:r>
    </w:p>
    <w:p w:rsidR="00FB02D6" w:rsidRDefault="00FB02D6" w:rsidP="00FB02D6">
      <w:pPr>
        <w:spacing w:line="300" w:lineRule="auto"/>
        <w:jc w:val="center"/>
        <w:rPr>
          <w:rFonts w:asciiTheme="minorHAnsi" w:hAnsiTheme="minorHAnsi" w:cstheme="minorHAnsi"/>
          <w:b/>
          <w:color w:val="000000"/>
        </w:rPr>
      </w:pPr>
      <w:r w:rsidRPr="00FB02D6">
        <w:rPr>
          <w:rFonts w:asciiTheme="minorHAnsi" w:hAnsiTheme="minorHAnsi" w:cstheme="minorHAnsi"/>
          <w:b/>
          <w:color w:val="000000"/>
        </w:rPr>
        <w:t>Equality Impact Assessment Report</w:t>
      </w:r>
    </w:p>
    <w:p w:rsidR="00FB02D6" w:rsidRDefault="00FB02D6" w:rsidP="00FB02D6">
      <w:pPr>
        <w:spacing w:line="300" w:lineRule="auto"/>
        <w:jc w:val="center"/>
        <w:rPr>
          <w:rFonts w:asciiTheme="minorHAnsi" w:hAnsiTheme="minorHAnsi" w:cstheme="minorHAnsi"/>
          <w:b/>
          <w:color w:val="000000"/>
        </w:rPr>
      </w:pPr>
    </w:p>
    <w:p w:rsidR="00FB02D6" w:rsidRPr="00FB02D6" w:rsidRDefault="00FB02D6" w:rsidP="00FB02D6">
      <w:pPr>
        <w:spacing w:line="300" w:lineRule="auto"/>
        <w:jc w:val="center"/>
        <w:rPr>
          <w:rFonts w:asciiTheme="minorHAnsi" w:hAnsiTheme="minorHAnsi" w:cstheme="minorHAnsi"/>
          <w:b/>
          <w:color w:val="000000"/>
        </w:rPr>
      </w:pPr>
    </w:p>
    <w:p w:rsidR="00FB02D6" w:rsidRPr="00FB02D6" w:rsidRDefault="00FB02D6" w:rsidP="00FB02D6">
      <w:pPr>
        <w:spacing w:line="300" w:lineRule="auto"/>
        <w:rPr>
          <w:rFonts w:asciiTheme="minorHAnsi" w:hAnsiTheme="minorHAnsi" w:cstheme="minorHAnsi"/>
          <w:b/>
          <w:color w:val="000000"/>
          <w:sz w:val="20"/>
          <w:szCs w:val="20"/>
        </w:rPr>
      </w:pPr>
    </w:p>
    <w:p w:rsidR="00FB02D6" w:rsidRPr="00FB02D6" w:rsidRDefault="00FB02D6" w:rsidP="00FB02D6">
      <w:pPr>
        <w:spacing w:line="300" w:lineRule="auto"/>
        <w:rPr>
          <w:rFonts w:asciiTheme="minorHAnsi" w:hAnsiTheme="minorHAnsi" w:cstheme="minorHAnsi"/>
          <w:b/>
          <w:color w:val="000000"/>
          <w:sz w:val="22"/>
          <w:szCs w:val="22"/>
        </w:rPr>
      </w:pPr>
      <w:r w:rsidRPr="00FB02D6">
        <w:rPr>
          <w:rFonts w:asciiTheme="minorHAnsi" w:hAnsiTheme="minorHAnsi" w:cstheme="minorHAnsi"/>
          <w:b/>
          <w:color w:val="000000"/>
          <w:sz w:val="22"/>
          <w:szCs w:val="22"/>
        </w:rPr>
        <w:t>Title of Educational Programme:</w:t>
      </w:r>
    </w:p>
    <w:p w:rsidR="00FB02D6" w:rsidRDefault="00FB02D6" w:rsidP="00FB02D6">
      <w:pPr>
        <w:spacing w:line="300" w:lineRule="auto"/>
        <w:rPr>
          <w:rFonts w:asciiTheme="minorHAnsi" w:hAnsiTheme="minorHAnsi" w:cstheme="minorHAnsi"/>
          <w:color w:val="000000"/>
          <w:sz w:val="20"/>
          <w:szCs w:val="20"/>
        </w:rPr>
      </w:pPr>
      <w:r w:rsidRPr="00FB02D6">
        <w:rPr>
          <w:rFonts w:asciiTheme="minorHAnsi" w:hAnsiTheme="minorHAnsi" w:cstheme="minorHAnsi"/>
          <w:color w:val="000000"/>
          <w:sz w:val="20"/>
          <w:szCs w:val="20"/>
        </w:rPr>
        <w:t xml:space="preserve">The Scotland GP Returner Programme / The Scotland Enhanced Induction Programme. </w:t>
      </w:r>
    </w:p>
    <w:p w:rsidR="00FB02D6" w:rsidRPr="00FB02D6" w:rsidRDefault="00FB02D6" w:rsidP="00FB02D6">
      <w:pPr>
        <w:spacing w:line="300" w:lineRule="auto"/>
        <w:rPr>
          <w:rFonts w:asciiTheme="minorHAnsi" w:hAnsiTheme="minorHAnsi" w:cstheme="minorHAnsi"/>
          <w:color w:val="000000"/>
          <w:sz w:val="20"/>
          <w:szCs w:val="20"/>
        </w:rPr>
      </w:pPr>
      <w:r w:rsidRPr="00FB02D6">
        <w:rPr>
          <w:rFonts w:asciiTheme="minorHAnsi" w:hAnsiTheme="minorHAnsi" w:cstheme="minorHAnsi"/>
          <w:color w:val="000000"/>
          <w:sz w:val="20"/>
          <w:szCs w:val="20"/>
        </w:rPr>
        <w:t xml:space="preserve">Details can be found at: </w:t>
      </w:r>
      <w:hyperlink r:id="rId5" w:tgtFrame="_blank" w:history="1">
        <w:r w:rsidRPr="00FB02D6">
          <w:rPr>
            <w:rStyle w:val="Hyperlink"/>
            <w:rFonts w:asciiTheme="minorHAnsi" w:hAnsiTheme="minorHAnsi" w:cstheme="minorHAnsi"/>
            <w:color w:val="1155CC"/>
            <w:sz w:val="20"/>
            <w:szCs w:val="20"/>
            <w:shd w:val="clear" w:color="auto" w:fill="FFFFFF"/>
          </w:rPr>
          <w:t>http://www.nes.scot.nhs.uk/gp-return-induction</w:t>
        </w:r>
      </w:hyperlink>
    </w:p>
    <w:p w:rsidR="00FB02D6" w:rsidRPr="00FB02D6" w:rsidRDefault="00FB02D6" w:rsidP="00FB02D6">
      <w:pPr>
        <w:spacing w:line="300" w:lineRule="auto"/>
        <w:rPr>
          <w:rFonts w:asciiTheme="minorHAnsi" w:hAnsiTheme="minorHAnsi" w:cstheme="minorHAnsi"/>
          <w:color w:val="000000"/>
          <w:sz w:val="20"/>
          <w:szCs w:val="20"/>
        </w:rPr>
      </w:pPr>
    </w:p>
    <w:p w:rsidR="00FB02D6" w:rsidRPr="00FB02D6" w:rsidRDefault="00FB02D6" w:rsidP="00FB02D6">
      <w:pPr>
        <w:spacing w:line="300" w:lineRule="auto"/>
        <w:rPr>
          <w:rFonts w:asciiTheme="minorHAnsi" w:hAnsiTheme="minorHAnsi" w:cstheme="minorHAnsi"/>
          <w:b/>
          <w:color w:val="000000"/>
          <w:sz w:val="22"/>
          <w:szCs w:val="22"/>
        </w:rPr>
      </w:pPr>
      <w:r w:rsidRPr="00FB02D6">
        <w:rPr>
          <w:rFonts w:asciiTheme="minorHAnsi" w:hAnsiTheme="minorHAnsi" w:cstheme="minorHAnsi"/>
          <w:b/>
          <w:color w:val="000000"/>
          <w:sz w:val="22"/>
          <w:szCs w:val="22"/>
        </w:rPr>
        <w:t>Name of person completing this document:</w:t>
      </w:r>
    </w:p>
    <w:p w:rsidR="00FB02D6" w:rsidRPr="00FB02D6" w:rsidRDefault="00FB02D6" w:rsidP="00FB02D6">
      <w:pPr>
        <w:spacing w:line="300" w:lineRule="auto"/>
        <w:rPr>
          <w:rFonts w:asciiTheme="minorHAnsi" w:hAnsiTheme="minorHAnsi" w:cstheme="minorHAnsi"/>
          <w:color w:val="000000"/>
          <w:sz w:val="20"/>
          <w:szCs w:val="20"/>
        </w:rPr>
      </w:pPr>
      <w:r w:rsidRPr="00FB02D6">
        <w:rPr>
          <w:rFonts w:asciiTheme="minorHAnsi" w:hAnsiTheme="minorHAnsi" w:cstheme="minorHAnsi"/>
          <w:color w:val="000000"/>
          <w:sz w:val="20"/>
          <w:szCs w:val="20"/>
        </w:rPr>
        <w:t>Professor Anthea Lints</w:t>
      </w:r>
    </w:p>
    <w:p w:rsidR="00FB02D6" w:rsidRPr="00FB02D6" w:rsidRDefault="00FB02D6" w:rsidP="00FB02D6">
      <w:pPr>
        <w:spacing w:line="300" w:lineRule="auto"/>
        <w:rPr>
          <w:rFonts w:asciiTheme="minorHAnsi" w:hAnsiTheme="minorHAnsi" w:cstheme="minorHAnsi"/>
          <w:color w:val="000000"/>
          <w:sz w:val="20"/>
          <w:szCs w:val="20"/>
        </w:rPr>
      </w:pPr>
    </w:p>
    <w:p w:rsidR="00FB02D6" w:rsidRPr="00FB02D6" w:rsidRDefault="00FB02D6" w:rsidP="00FB02D6">
      <w:pPr>
        <w:spacing w:line="300" w:lineRule="auto"/>
        <w:rPr>
          <w:rFonts w:asciiTheme="minorHAnsi" w:hAnsiTheme="minorHAnsi" w:cstheme="minorHAnsi"/>
          <w:b/>
          <w:sz w:val="22"/>
          <w:szCs w:val="22"/>
        </w:rPr>
      </w:pPr>
      <w:r w:rsidRPr="00FB02D6">
        <w:rPr>
          <w:rFonts w:asciiTheme="minorHAnsi" w:hAnsiTheme="minorHAnsi" w:cstheme="minorHAnsi"/>
          <w:b/>
          <w:sz w:val="22"/>
          <w:szCs w:val="22"/>
        </w:rPr>
        <w:t>NES Directorate:</w:t>
      </w:r>
    </w:p>
    <w:p w:rsidR="00FB02D6" w:rsidRPr="00FB02D6" w:rsidRDefault="00FB02D6" w:rsidP="00FB02D6">
      <w:pPr>
        <w:spacing w:line="300" w:lineRule="auto"/>
        <w:rPr>
          <w:rFonts w:asciiTheme="minorHAnsi" w:hAnsiTheme="minorHAnsi" w:cstheme="minorHAnsi"/>
          <w:sz w:val="20"/>
          <w:szCs w:val="20"/>
        </w:rPr>
      </w:pPr>
      <w:r w:rsidRPr="00FB02D6">
        <w:rPr>
          <w:rFonts w:asciiTheme="minorHAnsi" w:hAnsiTheme="minorHAnsi" w:cstheme="minorHAnsi"/>
          <w:sz w:val="20"/>
          <w:szCs w:val="20"/>
        </w:rPr>
        <w:t>Medicine</w:t>
      </w:r>
    </w:p>
    <w:p w:rsidR="00FB02D6" w:rsidRPr="00FB02D6" w:rsidRDefault="00FB02D6" w:rsidP="00FB02D6">
      <w:pPr>
        <w:spacing w:line="300" w:lineRule="auto"/>
        <w:rPr>
          <w:rFonts w:asciiTheme="minorHAnsi" w:hAnsiTheme="minorHAnsi" w:cstheme="minorHAnsi"/>
          <w:color w:val="000000"/>
          <w:sz w:val="20"/>
          <w:szCs w:val="20"/>
        </w:rPr>
      </w:pPr>
    </w:p>
    <w:p w:rsidR="00FB02D6" w:rsidRPr="00FB02D6" w:rsidRDefault="00FB02D6" w:rsidP="00FB02D6">
      <w:pPr>
        <w:spacing w:line="300" w:lineRule="auto"/>
        <w:rPr>
          <w:rFonts w:asciiTheme="minorHAnsi" w:hAnsiTheme="minorHAnsi" w:cstheme="minorHAnsi"/>
          <w:b/>
          <w:color w:val="000000"/>
          <w:sz w:val="22"/>
          <w:szCs w:val="22"/>
        </w:rPr>
      </w:pPr>
      <w:r w:rsidRPr="00FB02D6">
        <w:rPr>
          <w:rFonts w:asciiTheme="minorHAnsi" w:hAnsiTheme="minorHAnsi" w:cstheme="minorHAnsi"/>
          <w:b/>
          <w:color w:val="000000"/>
          <w:sz w:val="22"/>
          <w:szCs w:val="22"/>
        </w:rPr>
        <w:t>Other individuals and groups who have contributed to the development and implementation of this programme:</w:t>
      </w:r>
    </w:p>
    <w:p w:rsidR="00FB02D6" w:rsidRPr="00FB02D6" w:rsidRDefault="00FB02D6" w:rsidP="00FB02D6">
      <w:pPr>
        <w:rPr>
          <w:rFonts w:asciiTheme="minorHAnsi" w:hAnsiTheme="minorHAnsi" w:cstheme="minorHAnsi"/>
          <w:sz w:val="20"/>
          <w:szCs w:val="20"/>
        </w:rPr>
      </w:pPr>
      <w:r w:rsidRPr="00FB02D6">
        <w:rPr>
          <w:rFonts w:asciiTheme="minorHAnsi" w:hAnsiTheme="minorHAnsi" w:cstheme="minorHAnsi"/>
          <w:sz w:val="20"/>
          <w:szCs w:val="20"/>
        </w:rPr>
        <w:t>Scottish Government</w:t>
      </w:r>
    </w:p>
    <w:p w:rsidR="00FB02D6" w:rsidRPr="00FB02D6" w:rsidRDefault="00FB02D6" w:rsidP="00FB02D6">
      <w:pPr>
        <w:rPr>
          <w:rFonts w:asciiTheme="minorHAnsi" w:hAnsiTheme="minorHAnsi" w:cstheme="minorHAnsi"/>
          <w:sz w:val="20"/>
          <w:szCs w:val="20"/>
        </w:rPr>
      </w:pPr>
      <w:r w:rsidRPr="00FB02D6">
        <w:rPr>
          <w:rFonts w:asciiTheme="minorHAnsi" w:hAnsiTheme="minorHAnsi" w:cstheme="minorHAnsi"/>
          <w:sz w:val="20"/>
          <w:szCs w:val="20"/>
        </w:rPr>
        <w:t>Directorate of Health and Social Care Integration</w:t>
      </w:r>
    </w:p>
    <w:p w:rsidR="00FB02D6" w:rsidRPr="00FB02D6" w:rsidRDefault="00FB02D6" w:rsidP="00FB02D6">
      <w:pPr>
        <w:rPr>
          <w:rFonts w:asciiTheme="minorHAnsi" w:hAnsiTheme="minorHAnsi" w:cstheme="minorHAnsi"/>
          <w:sz w:val="20"/>
          <w:szCs w:val="20"/>
        </w:rPr>
      </w:pPr>
      <w:r w:rsidRPr="00FB02D6">
        <w:rPr>
          <w:rFonts w:asciiTheme="minorHAnsi" w:hAnsiTheme="minorHAnsi" w:cstheme="minorHAnsi"/>
          <w:sz w:val="20"/>
          <w:szCs w:val="20"/>
        </w:rPr>
        <w:t>Primary Care Division</w:t>
      </w:r>
    </w:p>
    <w:p w:rsidR="00FB02D6" w:rsidRPr="00FB02D6" w:rsidRDefault="00FB02D6" w:rsidP="00FB02D6">
      <w:pPr>
        <w:rPr>
          <w:rFonts w:asciiTheme="minorHAnsi" w:hAnsiTheme="minorHAnsi" w:cstheme="minorHAnsi"/>
          <w:sz w:val="20"/>
          <w:szCs w:val="20"/>
        </w:rPr>
      </w:pPr>
      <w:r w:rsidRPr="00FB02D6">
        <w:rPr>
          <w:rFonts w:asciiTheme="minorHAnsi" w:hAnsiTheme="minorHAnsi" w:cstheme="minorHAnsi"/>
          <w:sz w:val="20"/>
          <w:szCs w:val="20"/>
        </w:rPr>
        <w:t>GP Workforce Planning</w:t>
      </w:r>
    </w:p>
    <w:p w:rsidR="00FB02D6" w:rsidRPr="00FB02D6" w:rsidRDefault="00FB02D6" w:rsidP="00FB02D6">
      <w:pPr>
        <w:jc w:val="both"/>
        <w:rPr>
          <w:rFonts w:asciiTheme="minorHAnsi" w:hAnsiTheme="minorHAnsi" w:cstheme="minorHAnsi"/>
          <w:b/>
          <w:sz w:val="20"/>
          <w:szCs w:val="20"/>
        </w:rPr>
      </w:pPr>
      <w:r w:rsidRPr="00FB02D6">
        <w:rPr>
          <w:rFonts w:asciiTheme="minorHAnsi" w:hAnsiTheme="minorHAnsi" w:cstheme="minorHAnsi"/>
          <w:sz w:val="20"/>
          <w:szCs w:val="20"/>
        </w:rPr>
        <w:t xml:space="preserve">Dr Gregor Smith, Senior Medical Officer, SG </w:t>
      </w:r>
    </w:p>
    <w:p w:rsidR="00FB02D6" w:rsidRPr="00FB02D6" w:rsidRDefault="00FB02D6" w:rsidP="00FB02D6">
      <w:pPr>
        <w:jc w:val="both"/>
        <w:rPr>
          <w:rFonts w:asciiTheme="minorHAnsi" w:hAnsiTheme="minorHAnsi" w:cstheme="minorHAnsi"/>
          <w:sz w:val="20"/>
          <w:szCs w:val="20"/>
        </w:rPr>
      </w:pPr>
      <w:r w:rsidRPr="00FB02D6">
        <w:rPr>
          <w:rFonts w:asciiTheme="minorHAnsi" w:hAnsiTheme="minorHAnsi" w:cstheme="minorHAnsi"/>
          <w:sz w:val="20"/>
          <w:szCs w:val="20"/>
        </w:rPr>
        <w:t>Dr Andrew Buist, Deputy Chair, Scottish General Practitioners Committee</w:t>
      </w:r>
    </w:p>
    <w:p w:rsidR="00FB02D6" w:rsidRPr="00FB02D6" w:rsidRDefault="00FB02D6" w:rsidP="00FB02D6">
      <w:pPr>
        <w:jc w:val="both"/>
        <w:rPr>
          <w:rFonts w:asciiTheme="minorHAnsi" w:hAnsiTheme="minorHAnsi" w:cstheme="minorHAnsi"/>
          <w:sz w:val="20"/>
          <w:szCs w:val="20"/>
        </w:rPr>
      </w:pPr>
      <w:r w:rsidRPr="00FB02D6">
        <w:rPr>
          <w:rFonts w:asciiTheme="minorHAnsi" w:hAnsiTheme="minorHAnsi" w:cstheme="minorHAnsi"/>
          <w:sz w:val="20"/>
          <w:szCs w:val="20"/>
        </w:rPr>
        <w:t>Dr Stuart Cumming, Associate Medical Director, NHS Forth Valley</w:t>
      </w:r>
    </w:p>
    <w:p w:rsidR="00FB02D6" w:rsidRPr="00FB02D6" w:rsidRDefault="00FB02D6" w:rsidP="00FB02D6">
      <w:pPr>
        <w:jc w:val="both"/>
        <w:rPr>
          <w:rFonts w:asciiTheme="minorHAnsi" w:hAnsiTheme="minorHAnsi" w:cstheme="minorHAnsi"/>
          <w:sz w:val="20"/>
          <w:szCs w:val="20"/>
        </w:rPr>
      </w:pPr>
      <w:r w:rsidRPr="00FB02D6">
        <w:rPr>
          <w:rFonts w:asciiTheme="minorHAnsi" w:hAnsiTheme="minorHAnsi" w:cstheme="minorHAnsi"/>
          <w:sz w:val="20"/>
          <w:szCs w:val="20"/>
        </w:rPr>
        <w:t>Dr Alison Graham, Medical Director, NHS Ayrshire &amp; Arran</w:t>
      </w:r>
    </w:p>
    <w:p w:rsidR="00FB02D6" w:rsidRPr="00FB02D6" w:rsidRDefault="00FB02D6" w:rsidP="00FB02D6">
      <w:pPr>
        <w:jc w:val="both"/>
        <w:rPr>
          <w:rFonts w:asciiTheme="minorHAnsi" w:hAnsiTheme="minorHAnsi" w:cstheme="minorHAnsi"/>
          <w:sz w:val="20"/>
          <w:szCs w:val="20"/>
        </w:rPr>
      </w:pPr>
      <w:r w:rsidRPr="00FB02D6">
        <w:rPr>
          <w:rFonts w:asciiTheme="minorHAnsi" w:hAnsiTheme="minorHAnsi" w:cstheme="minorHAnsi"/>
          <w:sz w:val="20"/>
          <w:szCs w:val="20"/>
        </w:rPr>
        <w:t>Dr Moya Kelly, NHS National Education Scotland</w:t>
      </w:r>
    </w:p>
    <w:p w:rsidR="00FB02D6" w:rsidRPr="00FB02D6" w:rsidRDefault="00FB02D6" w:rsidP="00FB02D6">
      <w:pPr>
        <w:jc w:val="both"/>
        <w:rPr>
          <w:rFonts w:asciiTheme="minorHAnsi" w:hAnsiTheme="minorHAnsi" w:cstheme="minorHAnsi"/>
          <w:sz w:val="20"/>
          <w:szCs w:val="20"/>
        </w:rPr>
      </w:pPr>
      <w:r w:rsidRPr="00FB02D6">
        <w:rPr>
          <w:rFonts w:asciiTheme="minorHAnsi" w:hAnsiTheme="minorHAnsi" w:cstheme="minorHAnsi"/>
          <w:sz w:val="20"/>
          <w:szCs w:val="20"/>
        </w:rPr>
        <w:t>Dr Anthea Lints, NHS National Education Scotland</w:t>
      </w:r>
    </w:p>
    <w:p w:rsidR="00FB02D6" w:rsidRPr="00FB02D6" w:rsidRDefault="00FB02D6" w:rsidP="00FB02D6">
      <w:pPr>
        <w:jc w:val="both"/>
        <w:rPr>
          <w:rFonts w:asciiTheme="minorHAnsi" w:hAnsiTheme="minorHAnsi" w:cstheme="minorHAnsi"/>
          <w:sz w:val="20"/>
          <w:szCs w:val="20"/>
        </w:rPr>
      </w:pPr>
      <w:r w:rsidRPr="00FB02D6">
        <w:rPr>
          <w:rFonts w:asciiTheme="minorHAnsi" w:hAnsiTheme="minorHAnsi" w:cstheme="minorHAnsi"/>
          <w:sz w:val="20"/>
          <w:szCs w:val="20"/>
        </w:rPr>
        <w:t>Dr Elaine McNaughton, Royal College of General Practitioners</w:t>
      </w:r>
    </w:p>
    <w:p w:rsidR="00FB02D6" w:rsidRPr="00FB02D6" w:rsidRDefault="00FB02D6" w:rsidP="00FB02D6">
      <w:pPr>
        <w:jc w:val="both"/>
        <w:rPr>
          <w:rFonts w:asciiTheme="minorHAnsi" w:hAnsiTheme="minorHAnsi" w:cstheme="minorHAnsi"/>
          <w:sz w:val="20"/>
          <w:szCs w:val="20"/>
        </w:rPr>
      </w:pPr>
      <w:r w:rsidRPr="00FB02D6">
        <w:rPr>
          <w:rFonts w:asciiTheme="minorHAnsi" w:hAnsiTheme="minorHAnsi" w:cstheme="minorHAnsi"/>
          <w:sz w:val="20"/>
          <w:szCs w:val="20"/>
        </w:rPr>
        <w:t>Duncan Miller, Programme Manager, SG</w:t>
      </w:r>
    </w:p>
    <w:p w:rsidR="00FB02D6" w:rsidRPr="00FB02D6" w:rsidRDefault="00FB02D6" w:rsidP="00FB02D6">
      <w:pPr>
        <w:jc w:val="both"/>
        <w:rPr>
          <w:rFonts w:asciiTheme="minorHAnsi" w:hAnsiTheme="minorHAnsi" w:cstheme="minorHAnsi"/>
          <w:sz w:val="20"/>
          <w:szCs w:val="20"/>
        </w:rPr>
      </w:pPr>
      <w:r w:rsidRPr="00FB02D6">
        <w:rPr>
          <w:rFonts w:asciiTheme="minorHAnsi" w:hAnsiTheme="minorHAnsi" w:cstheme="minorHAnsi"/>
          <w:sz w:val="20"/>
          <w:szCs w:val="20"/>
        </w:rPr>
        <w:t>Lynda Nicholson, Head of Primary Medical Services, SG</w:t>
      </w:r>
    </w:p>
    <w:p w:rsidR="00FB02D6" w:rsidRPr="00FB02D6" w:rsidRDefault="00FB02D6" w:rsidP="00FB02D6">
      <w:pPr>
        <w:jc w:val="both"/>
        <w:rPr>
          <w:rFonts w:asciiTheme="minorHAnsi" w:hAnsiTheme="minorHAnsi" w:cstheme="minorHAnsi"/>
          <w:sz w:val="20"/>
          <w:szCs w:val="20"/>
        </w:rPr>
      </w:pPr>
      <w:r w:rsidRPr="00FB02D6">
        <w:rPr>
          <w:rFonts w:asciiTheme="minorHAnsi" w:hAnsiTheme="minorHAnsi" w:cstheme="minorHAnsi"/>
          <w:sz w:val="20"/>
          <w:szCs w:val="20"/>
        </w:rPr>
        <w:t>Dave McLeod, Workforce, SG</w:t>
      </w:r>
    </w:p>
    <w:p w:rsidR="00FB02D6" w:rsidRPr="00FB02D6" w:rsidRDefault="00FB02D6" w:rsidP="00FB02D6">
      <w:pPr>
        <w:jc w:val="both"/>
        <w:rPr>
          <w:rFonts w:asciiTheme="minorHAnsi" w:hAnsiTheme="minorHAnsi" w:cstheme="minorHAnsi"/>
          <w:sz w:val="20"/>
          <w:szCs w:val="20"/>
        </w:rPr>
      </w:pPr>
      <w:r w:rsidRPr="00FB02D6">
        <w:rPr>
          <w:rFonts w:asciiTheme="minorHAnsi" w:hAnsiTheme="minorHAnsi" w:cstheme="minorHAnsi"/>
          <w:sz w:val="20"/>
          <w:szCs w:val="20"/>
        </w:rPr>
        <w:t>Martin Morrison, NHS National Services Scotland</w:t>
      </w:r>
    </w:p>
    <w:p w:rsidR="00FB02D6" w:rsidRPr="00FB02D6" w:rsidRDefault="00FB02D6" w:rsidP="00FB02D6">
      <w:pPr>
        <w:jc w:val="both"/>
        <w:rPr>
          <w:rFonts w:asciiTheme="minorHAnsi" w:hAnsiTheme="minorHAnsi" w:cstheme="minorHAnsi"/>
          <w:sz w:val="20"/>
          <w:szCs w:val="20"/>
        </w:rPr>
      </w:pPr>
      <w:r w:rsidRPr="00FB02D6">
        <w:rPr>
          <w:rFonts w:asciiTheme="minorHAnsi" w:hAnsiTheme="minorHAnsi" w:cstheme="minorHAnsi"/>
          <w:sz w:val="20"/>
          <w:szCs w:val="20"/>
        </w:rPr>
        <w:t xml:space="preserve">Dr Mary O’Brien, Scottish General Practitioners Committee </w:t>
      </w:r>
    </w:p>
    <w:p w:rsidR="00FB02D6" w:rsidRPr="00FB02D6" w:rsidRDefault="00FB02D6" w:rsidP="00FB02D6">
      <w:pPr>
        <w:jc w:val="both"/>
        <w:rPr>
          <w:rFonts w:asciiTheme="minorHAnsi" w:hAnsiTheme="minorHAnsi" w:cstheme="minorHAnsi"/>
          <w:sz w:val="20"/>
          <w:szCs w:val="20"/>
        </w:rPr>
      </w:pPr>
      <w:r w:rsidRPr="00FB02D6">
        <w:rPr>
          <w:rFonts w:asciiTheme="minorHAnsi" w:hAnsiTheme="minorHAnsi" w:cstheme="minorHAnsi"/>
          <w:sz w:val="20"/>
          <w:szCs w:val="20"/>
        </w:rPr>
        <w:t xml:space="preserve">David Prince, Scottish General Practitioners Committee </w:t>
      </w:r>
    </w:p>
    <w:p w:rsidR="00FB02D6" w:rsidRPr="00FB02D6" w:rsidRDefault="00FB02D6" w:rsidP="00FB02D6">
      <w:pPr>
        <w:jc w:val="both"/>
        <w:rPr>
          <w:rFonts w:asciiTheme="minorHAnsi" w:hAnsiTheme="minorHAnsi" w:cstheme="minorHAnsi"/>
          <w:sz w:val="20"/>
          <w:szCs w:val="20"/>
        </w:rPr>
      </w:pPr>
      <w:r w:rsidRPr="00FB02D6">
        <w:rPr>
          <w:rFonts w:asciiTheme="minorHAnsi" w:hAnsiTheme="minorHAnsi" w:cstheme="minorHAnsi"/>
          <w:sz w:val="20"/>
          <w:szCs w:val="20"/>
        </w:rPr>
        <w:t>Dan Wynn, General Medical Council (for latter proceedings)</w:t>
      </w:r>
    </w:p>
    <w:p w:rsidR="00FB02D6" w:rsidRPr="00FB02D6" w:rsidRDefault="00FB02D6" w:rsidP="00FB02D6">
      <w:pPr>
        <w:jc w:val="both"/>
        <w:rPr>
          <w:rFonts w:asciiTheme="minorHAnsi" w:hAnsiTheme="minorHAnsi" w:cstheme="minorHAnsi"/>
          <w:sz w:val="20"/>
          <w:szCs w:val="20"/>
        </w:rPr>
      </w:pPr>
      <w:r w:rsidRPr="00FB02D6">
        <w:rPr>
          <w:rFonts w:asciiTheme="minorHAnsi" w:hAnsiTheme="minorHAnsi" w:cstheme="minorHAnsi"/>
          <w:sz w:val="20"/>
          <w:szCs w:val="20"/>
        </w:rPr>
        <w:t>Nic Zappia, Primary Care Manager, NHS Greater Glasgow &amp; Clyde</w:t>
      </w:r>
    </w:p>
    <w:p w:rsidR="00FB02D6" w:rsidRPr="00FB02D6" w:rsidRDefault="00FB02D6" w:rsidP="00FB02D6">
      <w:pPr>
        <w:jc w:val="both"/>
        <w:rPr>
          <w:rFonts w:asciiTheme="minorHAnsi" w:hAnsiTheme="minorHAnsi" w:cstheme="minorHAnsi"/>
          <w:sz w:val="20"/>
          <w:szCs w:val="20"/>
        </w:rPr>
      </w:pPr>
      <w:r w:rsidRPr="00FB02D6">
        <w:rPr>
          <w:rFonts w:asciiTheme="minorHAnsi" w:hAnsiTheme="minorHAnsi" w:cstheme="minorHAnsi"/>
          <w:sz w:val="20"/>
          <w:szCs w:val="20"/>
        </w:rPr>
        <w:t>Dr Sheena MacDonald, Medical Director, NHS Borders</w:t>
      </w:r>
    </w:p>
    <w:p w:rsidR="00FB02D6" w:rsidRPr="00FB02D6" w:rsidRDefault="00FB02D6" w:rsidP="00FB02D6">
      <w:pPr>
        <w:jc w:val="both"/>
        <w:rPr>
          <w:rFonts w:asciiTheme="minorHAnsi" w:hAnsiTheme="minorHAnsi" w:cstheme="minorHAnsi"/>
          <w:sz w:val="20"/>
          <w:szCs w:val="20"/>
        </w:rPr>
      </w:pPr>
      <w:r w:rsidRPr="00FB02D6">
        <w:rPr>
          <w:rFonts w:asciiTheme="minorHAnsi" w:hAnsiTheme="minorHAnsi" w:cstheme="minorHAnsi"/>
          <w:sz w:val="20"/>
          <w:szCs w:val="20"/>
        </w:rPr>
        <w:t>Dr Ken Proctor, Associate Medical Director, NHS Highland</w:t>
      </w:r>
    </w:p>
    <w:p w:rsidR="00FB02D6" w:rsidRPr="00FB02D6" w:rsidRDefault="00FB02D6" w:rsidP="00FB02D6">
      <w:pPr>
        <w:jc w:val="both"/>
        <w:rPr>
          <w:rFonts w:asciiTheme="minorHAnsi" w:hAnsiTheme="minorHAnsi" w:cstheme="minorHAnsi"/>
          <w:sz w:val="20"/>
          <w:szCs w:val="20"/>
        </w:rPr>
      </w:pPr>
      <w:r w:rsidRPr="00FB02D6">
        <w:rPr>
          <w:rFonts w:asciiTheme="minorHAnsi" w:hAnsiTheme="minorHAnsi" w:cstheme="minorHAnsi"/>
          <w:sz w:val="20"/>
          <w:szCs w:val="20"/>
        </w:rPr>
        <w:t>Victoria Carson, General Medical Council</w:t>
      </w:r>
    </w:p>
    <w:p w:rsidR="00FB02D6" w:rsidRPr="00FB02D6" w:rsidRDefault="00FB02D6" w:rsidP="00FB02D6">
      <w:pPr>
        <w:jc w:val="both"/>
        <w:rPr>
          <w:rFonts w:asciiTheme="minorHAnsi" w:hAnsiTheme="minorHAnsi" w:cstheme="minorHAnsi"/>
          <w:sz w:val="20"/>
          <w:szCs w:val="20"/>
        </w:rPr>
      </w:pPr>
      <w:r w:rsidRPr="00FB02D6">
        <w:rPr>
          <w:rFonts w:asciiTheme="minorHAnsi" w:hAnsiTheme="minorHAnsi" w:cstheme="minorHAnsi"/>
          <w:sz w:val="20"/>
          <w:szCs w:val="20"/>
        </w:rPr>
        <w:t>Dr Frances Elliot, Deputy Chief Medical Officer, SG</w:t>
      </w:r>
    </w:p>
    <w:p w:rsidR="00FB02D6" w:rsidRPr="00FB02D6" w:rsidRDefault="00FB02D6" w:rsidP="00FB02D6">
      <w:pPr>
        <w:jc w:val="both"/>
        <w:rPr>
          <w:rFonts w:asciiTheme="minorHAnsi" w:hAnsiTheme="minorHAnsi" w:cstheme="minorHAnsi"/>
          <w:sz w:val="20"/>
          <w:szCs w:val="20"/>
        </w:rPr>
      </w:pPr>
      <w:r w:rsidRPr="00FB02D6">
        <w:rPr>
          <w:rFonts w:asciiTheme="minorHAnsi" w:hAnsiTheme="minorHAnsi" w:cstheme="minorHAnsi"/>
          <w:sz w:val="20"/>
          <w:szCs w:val="20"/>
        </w:rPr>
        <w:t>Alan Hunter, Deputy Director, Performance Management, SG</w:t>
      </w:r>
    </w:p>
    <w:p w:rsidR="00FB02D6" w:rsidRPr="00FB02D6" w:rsidRDefault="00FB02D6" w:rsidP="00FB02D6">
      <w:pPr>
        <w:jc w:val="both"/>
        <w:rPr>
          <w:rFonts w:asciiTheme="minorHAnsi" w:hAnsiTheme="minorHAnsi" w:cstheme="minorHAnsi"/>
          <w:sz w:val="20"/>
          <w:szCs w:val="20"/>
        </w:rPr>
      </w:pPr>
      <w:r w:rsidRPr="00FB02D6">
        <w:rPr>
          <w:rFonts w:asciiTheme="minorHAnsi" w:hAnsiTheme="minorHAnsi" w:cstheme="minorHAnsi"/>
          <w:sz w:val="20"/>
          <w:szCs w:val="20"/>
        </w:rPr>
        <w:t>Willie Paxton, General Medical Council</w:t>
      </w:r>
    </w:p>
    <w:p w:rsidR="00FB02D6" w:rsidRPr="00FB02D6" w:rsidRDefault="00FB02D6" w:rsidP="00FB02D6">
      <w:pPr>
        <w:jc w:val="both"/>
        <w:rPr>
          <w:rFonts w:asciiTheme="minorHAnsi" w:hAnsiTheme="minorHAnsi" w:cstheme="minorHAnsi"/>
          <w:sz w:val="20"/>
          <w:szCs w:val="20"/>
        </w:rPr>
      </w:pPr>
      <w:r w:rsidRPr="00FB02D6">
        <w:rPr>
          <w:rFonts w:asciiTheme="minorHAnsi" w:hAnsiTheme="minorHAnsi" w:cstheme="minorHAnsi"/>
          <w:sz w:val="20"/>
          <w:szCs w:val="20"/>
        </w:rPr>
        <w:t>Frank McGregor, Policy Officer, SG</w:t>
      </w:r>
    </w:p>
    <w:p w:rsidR="00FB02D6" w:rsidRPr="00FB02D6" w:rsidRDefault="00FB02D6" w:rsidP="00FB02D6">
      <w:pPr>
        <w:jc w:val="both"/>
        <w:rPr>
          <w:rFonts w:asciiTheme="minorHAnsi" w:hAnsiTheme="minorHAnsi" w:cstheme="minorHAnsi"/>
          <w:sz w:val="20"/>
          <w:szCs w:val="20"/>
        </w:rPr>
      </w:pPr>
      <w:r w:rsidRPr="00FB02D6">
        <w:rPr>
          <w:rFonts w:asciiTheme="minorHAnsi" w:hAnsiTheme="minorHAnsi" w:cstheme="minorHAnsi"/>
          <w:sz w:val="20"/>
          <w:szCs w:val="20"/>
        </w:rPr>
        <w:t>Dr Michelle Watts, Associate Medical Director, NHS Tayside</w:t>
      </w:r>
    </w:p>
    <w:p w:rsidR="00FB02D6" w:rsidRPr="00FB02D6" w:rsidRDefault="00FB02D6" w:rsidP="00FB02D6">
      <w:pPr>
        <w:spacing w:line="300" w:lineRule="auto"/>
        <w:rPr>
          <w:rFonts w:asciiTheme="minorHAnsi" w:hAnsiTheme="minorHAnsi" w:cstheme="minorHAnsi"/>
          <w:b/>
          <w:color w:val="000000"/>
          <w:sz w:val="20"/>
          <w:szCs w:val="20"/>
        </w:rPr>
      </w:pPr>
    </w:p>
    <w:p w:rsidR="00FB02D6" w:rsidRPr="00FB02D6" w:rsidRDefault="00FB02D6" w:rsidP="00FB02D6">
      <w:pPr>
        <w:spacing w:line="300" w:lineRule="auto"/>
        <w:rPr>
          <w:rFonts w:asciiTheme="minorHAnsi" w:hAnsiTheme="minorHAnsi" w:cstheme="minorHAnsi"/>
          <w:b/>
          <w:color w:val="000000"/>
          <w:sz w:val="22"/>
          <w:szCs w:val="22"/>
        </w:rPr>
      </w:pPr>
      <w:r w:rsidRPr="00FB02D6">
        <w:rPr>
          <w:rFonts w:asciiTheme="minorHAnsi" w:hAnsiTheme="minorHAnsi" w:cstheme="minorHAnsi"/>
          <w:b/>
          <w:color w:val="000000"/>
          <w:sz w:val="22"/>
          <w:szCs w:val="22"/>
        </w:rPr>
        <w:t>Date document completed:</w:t>
      </w:r>
    </w:p>
    <w:p w:rsidR="00FB02D6" w:rsidRPr="00FB02D6" w:rsidRDefault="00FB02D6" w:rsidP="00FB02D6">
      <w:pPr>
        <w:spacing w:line="300" w:lineRule="auto"/>
        <w:rPr>
          <w:rFonts w:asciiTheme="minorHAnsi" w:hAnsiTheme="minorHAnsi" w:cstheme="minorHAnsi"/>
          <w:color w:val="000000"/>
          <w:sz w:val="20"/>
          <w:szCs w:val="20"/>
        </w:rPr>
      </w:pPr>
      <w:r w:rsidRPr="00FB02D6">
        <w:rPr>
          <w:rFonts w:asciiTheme="minorHAnsi" w:hAnsiTheme="minorHAnsi" w:cstheme="minorHAnsi"/>
          <w:color w:val="000000"/>
          <w:sz w:val="20"/>
          <w:szCs w:val="20"/>
        </w:rPr>
        <w:t>3</w:t>
      </w:r>
      <w:r w:rsidRPr="00FB02D6">
        <w:rPr>
          <w:rFonts w:asciiTheme="minorHAnsi" w:hAnsiTheme="minorHAnsi" w:cstheme="minorHAnsi"/>
          <w:color w:val="000000"/>
          <w:sz w:val="20"/>
          <w:szCs w:val="20"/>
          <w:vertAlign w:val="superscript"/>
        </w:rPr>
        <w:t>rd</w:t>
      </w:r>
      <w:r w:rsidRPr="00FB02D6">
        <w:rPr>
          <w:rFonts w:asciiTheme="minorHAnsi" w:hAnsiTheme="minorHAnsi" w:cstheme="minorHAnsi"/>
          <w:color w:val="000000"/>
          <w:sz w:val="20"/>
          <w:szCs w:val="20"/>
        </w:rPr>
        <w:t xml:space="preserve"> June 2015 (draft document for comment from Equality &amp; Diversity Advisor)</w:t>
      </w:r>
    </w:p>
    <w:p w:rsidR="00FB02D6" w:rsidRPr="00FB02D6" w:rsidRDefault="00FB02D6" w:rsidP="00FB02D6">
      <w:pPr>
        <w:spacing w:line="300" w:lineRule="auto"/>
        <w:rPr>
          <w:rFonts w:asciiTheme="minorHAnsi" w:hAnsiTheme="minorHAnsi" w:cstheme="minorHAnsi"/>
          <w:color w:val="000000"/>
          <w:sz w:val="20"/>
          <w:szCs w:val="20"/>
        </w:rPr>
      </w:pPr>
      <w:r w:rsidRPr="00FB02D6">
        <w:rPr>
          <w:rFonts w:asciiTheme="minorHAnsi" w:hAnsiTheme="minorHAnsi" w:cstheme="minorHAnsi"/>
          <w:color w:val="000000"/>
          <w:sz w:val="20"/>
          <w:szCs w:val="20"/>
        </w:rPr>
        <w:t>30</w:t>
      </w:r>
      <w:r w:rsidRPr="00FB02D6">
        <w:rPr>
          <w:rFonts w:asciiTheme="minorHAnsi" w:hAnsiTheme="minorHAnsi" w:cstheme="minorHAnsi"/>
          <w:color w:val="000000"/>
          <w:sz w:val="20"/>
          <w:szCs w:val="20"/>
          <w:vertAlign w:val="superscript"/>
        </w:rPr>
        <w:t>th</w:t>
      </w:r>
      <w:r w:rsidRPr="00FB02D6">
        <w:rPr>
          <w:rFonts w:asciiTheme="minorHAnsi" w:hAnsiTheme="minorHAnsi" w:cstheme="minorHAnsi"/>
          <w:color w:val="000000"/>
          <w:sz w:val="20"/>
          <w:szCs w:val="20"/>
        </w:rPr>
        <w:t xml:space="preserve"> September 2015 (final version for presentation to MDET on 13</w:t>
      </w:r>
      <w:r w:rsidRPr="00FB02D6">
        <w:rPr>
          <w:rFonts w:asciiTheme="minorHAnsi" w:hAnsiTheme="minorHAnsi" w:cstheme="minorHAnsi"/>
          <w:color w:val="000000"/>
          <w:sz w:val="20"/>
          <w:szCs w:val="20"/>
          <w:vertAlign w:val="superscript"/>
        </w:rPr>
        <w:t>th</w:t>
      </w:r>
      <w:r w:rsidRPr="00FB02D6">
        <w:rPr>
          <w:rFonts w:asciiTheme="minorHAnsi" w:hAnsiTheme="minorHAnsi" w:cstheme="minorHAnsi"/>
          <w:color w:val="000000"/>
          <w:sz w:val="20"/>
          <w:szCs w:val="20"/>
        </w:rPr>
        <w:t xml:space="preserve"> June 2016)</w:t>
      </w:r>
    </w:p>
    <w:p w:rsidR="00FB02D6" w:rsidRPr="00FB02D6" w:rsidRDefault="00FB02D6" w:rsidP="00FB02D6">
      <w:pPr>
        <w:spacing w:line="300" w:lineRule="auto"/>
        <w:rPr>
          <w:rFonts w:asciiTheme="minorHAnsi" w:hAnsiTheme="minorHAnsi" w:cstheme="minorHAnsi"/>
          <w:color w:val="000000"/>
          <w:sz w:val="20"/>
          <w:szCs w:val="20"/>
        </w:rPr>
      </w:pPr>
      <w:r w:rsidRPr="00FB02D6">
        <w:rPr>
          <w:rFonts w:asciiTheme="minorHAnsi" w:hAnsiTheme="minorHAnsi" w:cstheme="minorHAnsi"/>
          <w:color w:val="000000"/>
          <w:sz w:val="20"/>
          <w:szCs w:val="20"/>
        </w:rPr>
        <w:t>13</w:t>
      </w:r>
      <w:r w:rsidRPr="00FB02D6">
        <w:rPr>
          <w:rFonts w:asciiTheme="minorHAnsi" w:hAnsiTheme="minorHAnsi" w:cstheme="minorHAnsi"/>
          <w:color w:val="000000"/>
          <w:sz w:val="20"/>
          <w:szCs w:val="20"/>
          <w:vertAlign w:val="superscript"/>
        </w:rPr>
        <w:t>th</w:t>
      </w:r>
      <w:r w:rsidRPr="00FB02D6">
        <w:rPr>
          <w:rFonts w:asciiTheme="minorHAnsi" w:hAnsiTheme="minorHAnsi" w:cstheme="minorHAnsi"/>
          <w:color w:val="000000"/>
          <w:sz w:val="20"/>
          <w:szCs w:val="20"/>
        </w:rPr>
        <w:t xml:space="preserve"> June 2016</w:t>
      </w:r>
      <w:r w:rsidR="00DD2BB9">
        <w:rPr>
          <w:rFonts w:asciiTheme="minorHAnsi" w:hAnsiTheme="minorHAnsi" w:cstheme="minorHAnsi"/>
          <w:color w:val="000000"/>
          <w:sz w:val="20"/>
          <w:szCs w:val="20"/>
        </w:rPr>
        <w:t xml:space="preserve"> Approved by MDET</w:t>
      </w:r>
      <w:bookmarkStart w:id="0" w:name="_GoBack"/>
      <w:bookmarkEnd w:id="0"/>
    </w:p>
    <w:p w:rsidR="00FB02D6" w:rsidRPr="00FB02D6" w:rsidRDefault="00FB02D6" w:rsidP="00FB02D6">
      <w:pPr>
        <w:spacing w:line="300" w:lineRule="auto"/>
        <w:rPr>
          <w:rFonts w:asciiTheme="minorHAnsi" w:hAnsiTheme="minorHAnsi" w:cstheme="minorHAnsi"/>
          <w:color w:val="000000"/>
          <w:sz w:val="20"/>
          <w:szCs w:val="20"/>
        </w:rPr>
      </w:pPr>
      <w:r w:rsidRPr="00FB02D6">
        <w:rPr>
          <w:rFonts w:asciiTheme="minorHAnsi" w:hAnsiTheme="minorHAnsi" w:cstheme="minorHAnsi"/>
          <w:color w:val="000000"/>
          <w:sz w:val="20"/>
          <w:szCs w:val="20"/>
        </w:rPr>
        <w:lastRenderedPageBreak/>
        <w:t xml:space="preserve"> </w:t>
      </w:r>
    </w:p>
    <w:p w:rsidR="00FB02D6" w:rsidRPr="00FB02D6" w:rsidRDefault="00FB02D6" w:rsidP="00FB02D6">
      <w:pPr>
        <w:spacing w:line="300" w:lineRule="auto"/>
        <w:rPr>
          <w:rFonts w:asciiTheme="minorHAnsi" w:hAnsiTheme="minorHAnsi" w:cstheme="minorHAnsi"/>
          <w:b/>
          <w:color w:val="000000"/>
          <w:sz w:val="22"/>
          <w:szCs w:val="22"/>
        </w:rPr>
      </w:pPr>
    </w:p>
    <w:p w:rsidR="00FB02D6" w:rsidRPr="00FB02D6" w:rsidRDefault="00FB02D6" w:rsidP="00FB02D6">
      <w:pPr>
        <w:numPr>
          <w:ilvl w:val="0"/>
          <w:numId w:val="1"/>
        </w:numPr>
        <w:spacing w:line="300" w:lineRule="auto"/>
        <w:rPr>
          <w:rFonts w:asciiTheme="minorHAnsi" w:hAnsiTheme="minorHAnsi" w:cstheme="minorHAnsi"/>
          <w:color w:val="000000"/>
          <w:sz w:val="22"/>
          <w:szCs w:val="22"/>
        </w:rPr>
      </w:pPr>
      <w:r w:rsidRPr="00FB02D6">
        <w:rPr>
          <w:rFonts w:asciiTheme="minorHAnsi" w:hAnsiTheme="minorHAnsi" w:cstheme="minorHAnsi"/>
          <w:b/>
          <w:color w:val="000000"/>
          <w:sz w:val="22"/>
          <w:szCs w:val="22"/>
        </w:rPr>
        <w:t>The aims of the programme.</w:t>
      </w:r>
    </w:p>
    <w:p w:rsidR="00FB02D6" w:rsidRPr="00FB02D6" w:rsidRDefault="00FB02D6" w:rsidP="00FB02D6">
      <w:pPr>
        <w:pStyle w:val="ListParagraph"/>
        <w:widowControl w:val="0"/>
        <w:autoSpaceDE w:val="0"/>
        <w:autoSpaceDN w:val="0"/>
        <w:adjustRightInd w:val="0"/>
        <w:rPr>
          <w:rFonts w:asciiTheme="minorHAnsi" w:hAnsiTheme="minorHAnsi" w:cstheme="minorHAnsi"/>
          <w:sz w:val="20"/>
          <w:szCs w:val="20"/>
          <w:lang w:eastAsia="ja-JP"/>
        </w:rPr>
      </w:pPr>
    </w:p>
    <w:p w:rsidR="00FB02D6" w:rsidRPr="00FB02D6" w:rsidRDefault="00FB02D6" w:rsidP="00FB02D6">
      <w:pPr>
        <w:pStyle w:val="ListParagraph"/>
        <w:widowControl w:val="0"/>
        <w:autoSpaceDE w:val="0"/>
        <w:autoSpaceDN w:val="0"/>
        <w:adjustRightInd w:val="0"/>
        <w:ind w:left="0"/>
        <w:rPr>
          <w:rFonts w:asciiTheme="minorHAnsi" w:hAnsiTheme="minorHAnsi" w:cstheme="minorHAnsi"/>
          <w:sz w:val="20"/>
          <w:szCs w:val="20"/>
          <w:lang w:eastAsia="ja-JP"/>
        </w:rPr>
      </w:pPr>
      <w:r w:rsidRPr="00FB02D6">
        <w:rPr>
          <w:rFonts w:asciiTheme="minorHAnsi" w:hAnsiTheme="minorHAnsi" w:cstheme="minorHAnsi"/>
          <w:sz w:val="20"/>
          <w:szCs w:val="20"/>
          <w:lang w:eastAsia="ja-JP"/>
        </w:rPr>
        <w:t>The aims of the Returner Programme are to:</w:t>
      </w:r>
    </w:p>
    <w:p w:rsidR="00FB02D6" w:rsidRPr="00FB02D6" w:rsidRDefault="00FB02D6" w:rsidP="00FB02D6">
      <w:pPr>
        <w:pStyle w:val="ListParagraph"/>
        <w:widowControl w:val="0"/>
        <w:autoSpaceDE w:val="0"/>
        <w:autoSpaceDN w:val="0"/>
        <w:adjustRightInd w:val="0"/>
        <w:ind w:left="0"/>
        <w:rPr>
          <w:rFonts w:asciiTheme="minorHAnsi" w:hAnsiTheme="minorHAnsi" w:cstheme="minorHAnsi"/>
          <w:sz w:val="20"/>
          <w:szCs w:val="20"/>
          <w:lang w:eastAsia="ja-JP"/>
        </w:rPr>
      </w:pPr>
    </w:p>
    <w:p w:rsidR="00FB02D6" w:rsidRPr="00FB02D6" w:rsidRDefault="00FB02D6" w:rsidP="00FB02D6">
      <w:pPr>
        <w:pStyle w:val="ListParagraph"/>
        <w:widowControl w:val="0"/>
        <w:numPr>
          <w:ilvl w:val="0"/>
          <w:numId w:val="3"/>
        </w:numPr>
        <w:autoSpaceDE w:val="0"/>
        <w:autoSpaceDN w:val="0"/>
        <w:adjustRightInd w:val="0"/>
        <w:ind w:left="780"/>
        <w:contextualSpacing/>
        <w:rPr>
          <w:rFonts w:asciiTheme="minorHAnsi" w:hAnsiTheme="minorHAnsi" w:cstheme="minorHAnsi"/>
          <w:sz w:val="20"/>
          <w:szCs w:val="20"/>
          <w:lang w:eastAsia="ja-JP"/>
        </w:rPr>
      </w:pPr>
      <w:r w:rsidRPr="00FB02D6">
        <w:rPr>
          <w:rFonts w:asciiTheme="minorHAnsi" w:hAnsiTheme="minorHAnsi" w:cstheme="minorHAnsi"/>
          <w:sz w:val="20"/>
          <w:szCs w:val="20"/>
          <w:lang w:eastAsia="ja-JP"/>
        </w:rPr>
        <w:t>Provide a supportive and clinically relevant educational environment in which GPs</w:t>
      </w:r>
      <w:r>
        <w:rPr>
          <w:rFonts w:asciiTheme="minorHAnsi" w:hAnsiTheme="minorHAnsi" w:cstheme="minorHAnsi"/>
          <w:sz w:val="20"/>
          <w:szCs w:val="20"/>
          <w:lang w:eastAsia="ja-JP"/>
        </w:rPr>
        <w:t>,</w:t>
      </w:r>
      <w:r w:rsidRPr="00FB02D6">
        <w:rPr>
          <w:rFonts w:asciiTheme="minorHAnsi" w:hAnsiTheme="minorHAnsi" w:cstheme="minorHAnsi"/>
          <w:sz w:val="20"/>
          <w:szCs w:val="20"/>
          <w:lang w:eastAsia="ja-JP"/>
        </w:rPr>
        <w:t xml:space="preserve"> who have previously worked in NHS GP</w:t>
      </w:r>
      <w:r>
        <w:rPr>
          <w:rFonts w:asciiTheme="minorHAnsi" w:hAnsiTheme="minorHAnsi" w:cstheme="minorHAnsi"/>
          <w:sz w:val="20"/>
          <w:szCs w:val="20"/>
          <w:lang w:eastAsia="ja-JP"/>
        </w:rPr>
        <w:t>,</w:t>
      </w:r>
      <w:r w:rsidRPr="00FB02D6">
        <w:rPr>
          <w:rFonts w:asciiTheme="minorHAnsi" w:hAnsiTheme="minorHAnsi" w:cstheme="minorHAnsi"/>
          <w:sz w:val="20"/>
          <w:szCs w:val="20"/>
          <w:lang w:eastAsia="ja-JP"/>
        </w:rPr>
        <w:t xml:space="preserve"> can refresh and update their clinical skills</w:t>
      </w:r>
    </w:p>
    <w:p w:rsidR="00FB02D6" w:rsidRPr="00FB02D6" w:rsidRDefault="00FB02D6" w:rsidP="00FB02D6">
      <w:pPr>
        <w:pStyle w:val="ListParagraph"/>
        <w:widowControl w:val="0"/>
        <w:autoSpaceDE w:val="0"/>
        <w:autoSpaceDN w:val="0"/>
        <w:adjustRightInd w:val="0"/>
        <w:ind w:left="420"/>
        <w:rPr>
          <w:rFonts w:asciiTheme="minorHAnsi" w:hAnsiTheme="minorHAnsi" w:cstheme="minorHAnsi"/>
          <w:sz w:val="20"/>
          <w:szCs w:val="20"/>
          <w:lang w:eastAsia="ja-JP"/>
        </w:rPr>
      </w:pPr>
      <w:r w:rsidRPr="00FB02D6">
        <w:rPr>
          <w:rFonts w:asciiTheme="minorHAnsi" w:hAnsiTheme="minorHAnsi" w:cstheme="minorHAnsi"/>
          <w:sz w:val="20"/>
          <w:szCs w:val="20"/>
          <w:lang w:eastAsia="ja-JP"/>
        </w:rPr>
        <w:t xml:space="preserve"> </w:t>
      </w:r>
    </w:p>
    <w:p w:rsidR="00FB02D6" w:rsidRPr="00FB02D6" w:rsidRDefault="00FB02D6" w:rsidP="00FB02D6">
      <w:pPr>
        <w:pStyle w:val="ListParagraph"/>
        <w:widowControl w:val="0"/>
        <w:numPr>
          <w:ilvl w:val="0"/>
          <w:numId w:val="3"/>
        </w:numPr>
        <w:autoSpaceDE w:val="0"/>
        <w:autoSpaceDN w:val="0"/>
        <w:adjustRightInd w:val="0"/>
        <w:ind w:left="780"/>
        <w:contextualSpacing/>
        <w:rPr>
          <w:rFonts w:asciiTheme="minorHAnsi" w:hAnsiTheme="minorHAnsi" w:cstheme="minorHAnsi"/>
          <w:sz w:val="20"/>
          <w:szCs w:val="20"/>
          <w:lang w:eastAsia="ja-JP"/>
        </w:rPr>
      </w:pPr>
      <w:r w:rsidRPr="00FB02D6">
        <w:rPr>
          <w:rFonts w:asciiTheme="minorHAnsi" w:hAnsiTheme="minorHAnsi" w:cstheme="minorHAnsi"/>
          <w:sz w:val="20"/>
          <w:szCs w:val="20"/>
          <w:lang w:eastAsia="ja-JP"/>
        </w:rPr>
        <w:t>Provide a formative assessment for the GP during the practice attachment</w:t>
      </w:r>
    </w:p>
    <w:p w:rsidR="00FB02D6" w:rsidRPr="00FB02D6" w:rsidRDefault="00FB02D6" w:rsidP="00FB02D6">
      <w:pPr>
        <w:pStyle w:val="ListParagraph"/>
        <w:widowControl w:val="0"/>
        <w:autoSpaceDE w:val="0"/>
        <w:autoSpaceDN w:val="0"/>
        <w:adjustRightInd w:val="0"/>
        <w:ind w:left="420"/>
        <w:rPr>
          <w:rFonts w:asciiTheme="minorHAnsi" w:hAnsiTheme="minorHAnsi" w:cstheme="minorHAnsi"/>
          <w:sz w:val="20"/>
          <w:szCs w:val="20"/>
          <w:lang w:eastAsia="ja-JP"/>
        </w:rPr>
      </w:pPr>
    </w:p>
    <w:p w:rsidR="00FB02D6" w:rsidRPr="00FB02D6" w:rsidRDefault="00FB02D6" w:rsidP="00FB02D6">
      <w:pPr>
        <w:pStyle w:val="ListParagraph"/>
        <w:widowControl w:val="0"/>
        <w:numPr>
          <w:ilvl w:val="0"/>
          <w:numId w:val="3"/>
        </w:numPr>
        <w:autoSpaceDE w:val="0"/>
        <w:autoSpaceDN w:val="0"/>
        <w:adjustRightInd w:val="0"/>
        <w:ind w:left="780"/>
        <w:contextualSpacing/>
        <w:rPr>
          <w:rFonts w:asciiTheme="minorHAnsi" w:hAnsiTheme="minorHAnsi" w:cstheme="minorHAnsi"/>
          <w:sz w:val="20"/>
          <w:szCs w:val="20"/>
          <w:lang w:eastAsia="ja-JP"/>
        </w:rPr>
      </w:pPr>
      <w:r w:rsidRPr="00FB02D6">
        <w:rPr>
          <w:rFonts w:asciiTheme="minorHAnsi" w:hAnsiTheme="minorHAnsi" w:cstheme="minorHAnsi"/>
          <w:sz w:val="20"/>
          <w:szCs w:val="20"/>
          <w:lang w:eastAsia="ja-JP"/>
        </w:rPr>
        <w:t>Provide a clinical reference through an Educational Review Document (ERD) supported by evidence to those managing the Performer List</w:t>
      </w:r>
    </w:p>
    <w:p w:rsidR="00FB02D6" w:rsidRPr="00FB02D6" w:rsidRDefault="00FB02D6" w:rsidP="00FB02D6">
      <w:pPr>
        <w:pStyle w:val="ListParagraph"/>
        <w:rPr>
          <w:rFonts w:asciiTheme="minorHAnsi" w:hAnsiTheme="minorHAnsi" w:cstheme="minorHAnsi"/>
          <w:sz w:val="20"/>
          <w:szCs w:val="20"/>
          <w:lang w:eastAsia="ja-JP"/>
        </w:rPr>
      </w:pPr>
    </w:p>
    <w:p w:rsidR="00FB02D6" w:rsidRPr="00FB02D6" w:rsidRDefault="00FB02D6" w:rsidP="00FB02D6">
      <w:pPr>
        <w:pStyle w:val="ListParagraph"/>
        <w:widowControl w:val="0"/>
        <w:numPr>
          <w:ilvl w:val="0"/>
          <w:numId w:val="3"/>
        </w:numPr>
        <w:autoSpaceDE w:val="0"/>
        <w:autoSpaceDN w:val="0"/>
        <w:adjustRightInd w:val="0"/>
        <w:ind w:left="780"/>
        <w:contextualSpacing/>
        <w:rPr>
          <w:rFonts w:asciiTheme="minorHAnsi" w:hAnsiTheme="minorHAnsi" w:cstheme="minorHAnsi"/>
          <w:sz w:val="20"/>
          <w:szCs w:val="20"/>
          <w:lang w:eastAsia="ja-JP"/>
        </w:rPr>
      </w:pPr>
      <w:r w:rsidRPr="00FB02D6">
        <w:rPr>
          <w:rFonts w:asciiTheme="minorHAnsi" w:hAnsiTheme="minorHAnsi" w:cstheme="minorHAnsi"/>
          <w:sz w:val="20"/>
          <w:szCs w:val="20"/>
          <w:lang w:eastAsia="ja-JP"/>
        </w:rPr>
        <w:t>Enable GPs who are committed to live and work in Scotland, to return to the GP work force.</w:t>
      </w:r>
    </w:p>
    <w:p w:rsidR="00FB02D6" w:rsidRPr="00FB02D6" w:rsidRDefault="00FB02D6" w:rsidP="00FB02D6">
      <w:pPr>
        <w:spacing w:line="300" w:lineRule="auto"/>
        <w:rPr>
          <w:rFonts w:asciiTheme="minorHAnsi" w:hAnsiTheme="minorHAnsi" w:cstheme="minorHAnsi"/>
          <w:b/>
          <w:color w:val="000000"/>
          <w:sz w:val="20"/>
          <w:szCs w:val="20"/>
        </w:rPr>
      </w:pPr>
    </w:p>
    <w:p w:rsidR="00FB02D6" w:rsidRPr="00FB02D6" w:rsidRDefault="00FB02D6" w:rsidP="00FB02D6">
      <w:pPr>
        <w:pStyle w:val="ListParagraph"/>
        <w:widowControl w:val="0"/>
        <w:autoSpaceDE w:val="0"/>
        <w:autoSpaceDN w:val="0"/>
        <w:adjustRightInd w:val="0"/>
        <w:ind w:left="0"/>
        <w:rPr>
          <w:rFonts w:asciiTheme="minorHAnsi" w:hAnsiTheme="minorHAnsi" w:cstheme="minorHAnsi"/>
          <w:sz w:val="20"/>
          <w:szCs w:val="20"/>
          <w:lang w:eastAsia="ja-JP"/>
        </w:rPr>
      </w:pPr>
      <w:r w:rsidRPr="00FB02D6">
        <w:rPr>
          <w:rFonts w:asciiTheme="minorHAnsi" w:hAnsiTheme="minorHAnsi" w:cstheme="minorHAnsi"/>
          <w:sz w:val="20"/>
          <w:szCs w:val="20"/>
          <w:lang w:eastAsia="ja-JP"/>
        </w:rPr>
        <w:t>The aims of the Enhanced Induction Programme are to:</w:t>
      </w:r>
    </w:p>
    <w:p w:rsidR="00FB02D6" w:rsidRPr="00FB02D6" w:rsidRDefault="00FB02D6" w:rsidP="00FB02D6">
      <w:pPr>
        <w:pStyle w:val="Default"/>
        <w:spacing w:after="69"/>
        <w:ind w:left="720"/>
        <w:rPr>
          <w:rFonts w:asciiTheme="minorHAnsi" w:hAnsiTheme="minorHAnsi" w:cstheme="minorHAnsi"/>
          <w:sz w:val="20"/>
          <w:szCs w:val="20"/>
        </w:rPr>
      </w:pPr>
    </w:p>
    <w:p w:rsidR="00FB02D6" w:rsidRPr="00FB02D6" w:rsidRDefault="00FB02D6" w:rsidP="00FB02D6">
      <w:pPr>
        <w:pStyle w:val="ListParagraph"/>
        <w:widowControl w:val="0"/>
        <w:numPr>
          <w:ilvl w:val="0"/>
          <w:numId w:val="4"/>
        </w:numPr>
        <w:autoSpaceDE w:val="0"/>
        <w:autoSpaceDN w:val="0"/>
        <w:adjustRightInd w:val="0"/>
        <w:contextualSpacing/>
        <w:rPr>
          <w:rFonts w:asciiTheme="minorHAnsi" w:hAnsiTheme="minorHAnsi" w:cstheme="minorHAnsi"/>
          <w:sz w:val="20"/>
          <w:szCs w:val="20"/>
          <w:lang w:eastAsia="ja-JP"/>
        </w:rPr>
      </w:pPr>
      <w:r w:rsidRPr="00FB02D6">
        <w:rPr>
          <w:rFonts w:asciiTheme="minorHAnsi" w:hAnsiTheme="minorHAnsi" w:cstheme="minorHAnsi"/>
          <w:sz w:val="20"/>
          <w:szCs w:val="20"/>
          <w:lang w:eastAsia="ja-JP"/>
        </w:rPr>
        <w:t xml:space="preserve">Provide a supportive and clinically relevant educational environment in which GPs who have never worked in NHS GP before can acquire </w:t>
      </w:r>
      <w:r w:rsidRPr="00FB02D6">
        <w:rPr>
          <w:rFonts w:asciiTheme="minorHAnsi" w:hAnsiTheme="minorHAnsi" w:cstheme="minorHAnsi"/>
          <w:sz w:val="20"/>
          <w:szCs w:val="20"/>
        </w:rPr>
        <w:t>a working knowledge of the NHS, are both clinically safe and able to practice in accordance with the values of the NHS, and are comfortable managing patients’ expectations across the broad curriculum of general practice.</w:t>
      </w:r>
    </w:p>
    <w:p w:rsidR="00FB02D6" w:rsidRPr="00FB02D6" w:rsidRDefault="00FB02D6" w:rsidP="00FB02D6">
      <w:pPr>
        <w:pStyle w:val="ListParagraph"/>
        <w:widowControl w:val="0"/>
        <w:autoSpaceDE w:val="0"/>
        <w:autoSpaceDN w:val="0"/>
        <w:adjustRightInd w:val="0"/>
        <w:ind w:left="780"/>
        <w:contextualSpacing/>
        <w:rPr>
          <w:rFonts w:asciiTheme="minorHAnsi" w:hAnsiTheme="minorHAnsi" w:cstheme="minorHAnsi"/>
          <w:sz w:val="20"/>
          <w:szCs w:val="20"/>
          <w:lang w:eastAsia="ja-JP"/>
        </w:rPr>
      </w:pPr>
    </w:p>
    <w:p w:rsidR="00FB02D6" w:rsidRPr="00FB02D6" w:rsidRDefault="00FB02D6" w:rsidP="00FB02D6">
      <w:pPr>
        <w:pStyle w:val="ListParagraph"/>
        <w:widowControl w:val="0"/>
        <w:numPr>
          <w:ilvl w:val="0"/>
          <w:numId w:val="4"/>
        </w:numPr>
        <w:autoSpaceDE w:val="0"/>
        <w:autoSpaceDN w:val="0"/>
        <w:adjustRightInd w:val="0"/>
        <w:contextualSpacing/>
        <w:rPr>
          <w:rFonts w:asciiTheme="minorHAnsi" w:hAnsiTheme="minorHAnsi" w:cstheme="minorHAnsi"/>
          <w:sz w:val="20"/>
          <w:szCs w:val="20"/>
          <w:lang w:eastAsia="ja-JP"/>
        </w:rPr>
      </w:pPr>
      <w:r w:rsidRPr="00FB02D6">
        <w:rPr>
          <w:rFonts w:asciiTheme="minorHAnsi" w:hAnsiTheme="minorHAnsi" w:cstheme="minorHAnsi"/>
          <w:sz w:val="20"/>
          <w:szCs w:val="20"/>
          <w:lang w:eastAsia="ja-JP"/>
        </w:rPr>
        <w:t>Provide a formative assessment for the GP during the practice attachment.</w:t>
      </w:r>
    </w:p>
    <w:p w:rsidR="00FB02D6" w:rsidRPr="00FB02D6" w:rsidRDefault="00FB02D6" w:rsidP="00FB02D6">
      <w:pPr>
        <w:pStyle w:val="ListParagraph"/>
        <w:rPr>
          <w:rFonts w:asciiTheme="minorHAnsi" w:hAnsiTheme="minorHAnsi" w:cstheme="minorHAnsi"/>
          <w:sz w:val="20"/>
          <w:szCs w:val="20"/>
          <w:lang w:eastAsia="ja-JP"/>
        </w:rPr>
      </w:pPr>
    </w:p>
    <w:p w:rsidR="00FB02D6" w:rsidRPr="00FB02D6" w:rsidRDefault="00FB02D6" w:rsidP="00FB02D6">
      <w:pPr>
        <w:pStyle w:val="ListParagraph"/>
        <w:widowControl w:val="0"/>
        <w:numPr>
          <w:ilvl w:val="0"/>
          <w:numId w:val="4"/>
        </w:numPr>
        <w:autoSpaceDE w:val="0"/>
        <w:autoSpaceDN w:val="0"/>
        <w:adjustRightInd w:val="0"/>
        <w:contextualSpacing/>
        <w:rPr>
          <w:rFonts w:asciiTheme="minorHAnsi" w:hAnsiTheme="minorHAnsi" w:cstheme="minorHAnsi"/>
          <w:sz w:val="20"/>
          <w:szCs w:val="20"/>
          <w:lang w:eastAsia="ja-JP"/>
        </w:rPr>
      </w:pPr>
      <w:r w:rsidRPr="00FB02D6">
        <w:rPr>
          <w:rFonts w:asciiTheme="minorHAnsi" w:hAnsiTheme="minorHAnsi" w:cstheme="minorHAnsi"/>
          <w:sz w:val="20"/>
          <w:szCs w:val="20"/>
          <w:lang w:eastAsia="ja-JP"/>
        </w:rPr>
        <w:t>Provide a clinical recommendation through an Educational Review Report, supported by evidence, to those managing the Performer List.</w:t>
      </w:r>
    </w:p>
    <w:p w:rsidR="00FB02D6" w:rsidRPr="00FB02D6" w:rsidRDefault="00FB02D6" w:rsidP="00FB02D6">
      <w:pPr>
        <w:pStyle w:val="ListParagraph"/>
        <w:rPr>
          <w:rFonts w:asciiTheme="minorHAnsi" w:hAnsiTheme="minorHAnsi" w:cstheme="minorHAnsi"/>
          <w:sz w:val="20"/>
          <w:szCs w:val="20"/>
          <w:lang w:eastAsia="ja-JP"/>
        </w:rPr>
      </w:pPr>
    </w:p>
    <w:p w:rsidR="00FB02D6" w:rsidRPr="00FB02D6" w:rsidRDefault="00FB02D6" w:rsidP="00FB02D6">
      <w:pPr>
        <w:pStyle w:val="ListParagraph"/>
        <w:widowControl w:val="0"/>
        <w:numPr>
          <w:ilvl w:val="0"/>
          <w:numId w:val="4"/>
        </w:numPr>
        <w:autoSpaceDE w:val="0"/>
        <w:autoSpaceDN w:val="0"/>
        <w:adjustRightInd w:val="0"/>
        <w:contextualSpacing/>
        <w:rPr>
          <w:rFonts w:asciiTheme="minorHAnsi" w:hAnsiTheme="minorHAnsi" w:cstheme="minorHAnsi"/>
          <w:sz w:val="20"/>
          <w:szCs w:val="20"/>
          <w:lang w:eastAsia="ja-JP"/>
        </w:rPr>
      </w:pPr>
      <w:r w:rsidRPr="00FB02D6">
        <w:rPr>
          <w:rFonts w:asciiTheme="minorHAnsi" w:hAnsiTheme="minorHAnsi" w:cstheme="minorHAnsi"/>
          <w:sz w:val="20"/>
          <w:szCs w:val="20"/>
          <w:lang w:eastAsia="ja-JP"/>
        </w:rPr>
        <w:t>Enable GPs, who are committed to live and work in Scotland, to join the GP work force.</w:t>
      </w:r>
    </w:p>
    <w:p w:rsidR="00FB02D6" w:rsidRPr="00FB02D6" w:rsidRDefault="00FB02D6" w:rsidP="00FB02D6">
      <w:pPr>
        <w:pStyle w:val="ListParagraph"/>
        <w:rPr>
          <w:rFonts w:asciiTheme="minorHAnsi" w:hAnsiTheme="minorHAnsi" w:cstheme="minorHAnsi"/>
          <w:sz w:val="20"/>
          <w:szCs w:val="20"/>
          <w:lang w:eastAsia="ja-JP"/>
        </w:rPr>
      </w:pPr>
    </w:p>
    <w:p w:rsidR="00FB02D6" w:rsidRDefault="00FB02D6" w:rsidP="00FB02D6">
      <w:pPr>
        <w:widowControl w:val="0"/>
        <w:autoSpaceDE w:val="0"/>
        <w:autoSpaceDN w:val="0"/>
        <w:adjustRightInd w:val="0"/>
        <w:contextualSpacing/>
        <w:rPr>
          <w:rFonts w:asciiTheme="minorHAnsi" w:hAnsiTheme="minorHAnsi" w:cstheme="minorHAnsi"/>
          <w:sz w:val="20"/>
          <w:szCs w:val="20"/>
          <w:lang w:eastAsia="ja-JP"/>
        </w:rPr>
      </w:pPr>
    </w:p>
    <w:p w:rsidR="00FB02D6" w:rsidRPr="00FB02D6" w:rsidRDefault="00FB02D6" w:rsidP="00FB02D6">
      <w:pPr>
        <w:widowControl w:val="0"/>
        <w:autoSpaceDE w:val="0"/>
        <w:autoSpaceDN w:val="0"/>
        <w:adjustRightInd w:val="0"/>
        <w:contextualSpacing/>
        <w:rPr>
          <w:rFonts w:asciiTheme="minorHAnsi" w:hAnsiTheme="minorHAnsi" w:cstheme="minorHAnsi"/>
          <w:sz w:val="20"/>
          <w:szCs w:val="20"/>
          <w:lang w:eastAsia="ja-JP"/>
        </w:rPr>
      </w:pPr>
      <w:r w:rsidRPr="00FB02D6">
        <w:rPr>
          <w:rFonts w:asciiTheme="minorHAnsi" w:hAnsiTheme="minorHAnsi" w:cstheme="minorHAnsi"/>
          <w:sz w:val="20"/>
          <w:szCs w:val="20"/>
          <w:lang w:eastAsia="ja-JP"/>
        </w:rPr>
        <w:t>The GP Returner Programme benefits GPs who have previously worked in NHS GP, who have taken a career break, commonly to raise a family or following premature retirement, and who wish to return to clinical practice but who are apprehensive of recent advances, changes and innovations and who lack the confidence to return without mentoring and support.</w:t>
      </w:r>
    </w:p>
    <w:p w:rsidR="00FB02D6" w:rsidRPr="00FB02D6" w:rsidRDefault="00FB02D6" w:rsidP="00FB02D6">
      <w:pPr>
        <w:widowControl w:val="0"/>
        <w:autoSpaceDE w:val="0"/>
        <w:autoSpaceDN w:val="0"/>
        <w:adjustRightInd w:val="0"/>
        <w:contextualSpacing/>
        <w:rPr>
          <w:rFonts w:asciiTheme="minorHAnsi" w:hAnsiTheme="minorHAnsi" w:cstheme="minorHAnsi"/>
          <w:sz w:val="20"/>
          <w:szCs w:val="20"/>
          <w:lang w:eastAsia="ja-JP"/>
        </w:rPr>
      </w:pPr>
    </w:p>
    <w:p w:rsidR="00FB02D6" w:rsidRPr="00FB02D6" w:rsidRDefault="00FB02D6" w:rsidP="00FB02D6">
      <w:pPr>
        <w:widowControl w:val="0"/>
        <w:autoSpaceDE w:val="0"/>
        <w:autoSpaceDN w:val="0"/>
        <w:adjustRightInd w:val="0"/>
        <w:contextualSpacing/>
        <w:rPr>
          <w:rFonts w:asciiTheme="minorHAnsi" w:hAnsiTheme="minorHAnsi" w:cstheme="minorHAnsi"/>
          <w:sz w:val="20"/>
          <w:szCs w:val="20"/>
          <w:lang w:eastAsia="ja-JP"/>
        </w:rPr>
      </w:pPr>
      <w:r w:rsidRPr="00FB02D6">
        <w:rPr>
          <w:rFonts w:asciiTheme="minorHAnsi" w:hAnsiTheme="minorHAnsi" w:cstheme="minorHAnsi"/>
          <w:sz w:val="20"/>
          <w:szCs w:val="20"/>
          <w:lang w:eastAsia="ja-JP"/>
        </w:rPr>
        <w:t>The GP Enhanced Induction programme benefits GPs who have never worked in NHS GP but who have a long term commitment to live and work in Scotland. The programme provides an opportunity to practice within a different health care system to that within which they have trained, previously worked and are familiar, with particular reference to cultural, ethical, organisational</w:t>
      </w:r>
      <w:r>
        <w:rPr>
          <w:rFonts w:asciiTheme="minorHAnsi" w:hAnsiTheme="minorHAnsi" w:cstheme="minorHAnsi"/>
          <w:sz w:val="20"/>
          <w:szCs w:val="20"/>
          <w:lang w:eastAsia="ja-JP"/>
        </w:rPr>
        <w:t>, clinical</w:t>
      </w:r>
      <w:r w:rsidRPr="00FB02D6">
        <w:rPr>
          <w:rFonts w:asciiTheme="minorHAnsi" w:hAnsiTheme="minorHAnsi" w:cstheme="minorHAnsi"/>
          <w:sz w:val="20"/>
          <w:szCs w:val="20"/>
          <w:lang w:eastAsia="ja-JP"/>
        </w:rPr>
        <w:t xml:space="preserve"> and system differences.</w:t>
      </w:r>
    </w:p>
    <w:p w:rsidR="00FB02D6" w:rsidRPr="00FB02D6" w:rsidRDefault="00FB02D6" w:rsidP="00FB02D6">
      <w:pPr>
        <w:widowControl w:val="0"/>
        <w:autoSpaceDE w:val="0"/>
        <w:autoSpaceDN w:val="0"/>
        <w:adjustRightInd w:val="0"/>
        <w:contextualSpacing/>
        <w:rPr>
          <w:rFonts w:asciiTheme="minorHAnsi" w:hAnsiTheme="minorHAnsi" w:cstheme="minorHAnsi"/>
          <w:sz w:val="20"/>
          <w:szCs w:val="20"/>
          <w:lang w:eastAsia="ja-JP"/>
        </w:rPr>
      </w:pPr>
    </w:p>
    <w:p w:rsidR="00FB02D6" w:rsidRPr="00FB02D6" w:rsidRDefault="00FB02D6" w:rsidP="00FB02D6">
      <w:pPr>
        <w:widowControl w:val="0"/>
        <w:autoSpaceDE w:val="0"/>
        <w:autoSpaceDN w:val="0"/>
        <w:adjustRightInd w:val="0"/>
        <w:contextualSpacing/>
        <w:rPr>
          <w:rFonts w:asciiTheme="minorHAnsi" w:hAnsiTheme="minorHAnsi" w:cstheme="minorHAnsi"/>
          <w:sz w:val="20"/>
          <w:szCs w:val="20"/>
          <w:lang w:eastAsia="ja-JP"/>
        </w:rPr>
      </w:pPr>
      <w:r w:rsidRPr="00FB02D6">
        <w:rPr>
          <w:rFonts w:asciiTheme="minorHAnsi" w:hAnsiTheme="minorHAnsi" w:cstheme="minorHAnsi"/>
          <w:sz w:val="20"/>
          <w:szCs w:val="20"/>
          <w:lang w:eastAsia="ja-JP"/>
        </w:rPr>
        <w:t xml:space="preserve">These programmes benefit Medical Directors with responsibility for Performers’ Lists in Scotland by providing a reliable work place based assessment to inform suitability for unconditional inclusion on the Performers List as independent practitioners. </w:t>
      </w:r>
    </w:p>
    <w:p w:rsidR="00FB02D6" w:rsidRPr="00FB02D6" w:rsidRDefault="00FB02D6" w:rsidP="00FB02D6">
      <w:pPr>
        <w:widowControl w:val="0"/>
        <w:autoSpaceDE w:val="0"/>
        <w:autoSpaceDN w:val="0"/>
        <w:adjustRightInd w:val="0"/>
        <w:contextualSpacing/>
        <w:rPr>
          <w:rFonts w:asciiTheme="minorHAnsi" w:hAnsiTheme="minorHAnsi" w:cstheme="minorHAnsi"/>
          <w:sz w:val="20"/>
          <w:szCs w:val="20"/>
          <w:lang w:eastAsia="ja-JP"/>
        </w:rPr>
      </w:pPr>
    </w:p>
    <w:p w:rsidR="00FB02D6" w:rsidRPr="00FB02D6" w:rsidRDefault="00FB02D6" w:rsidP="00FB02D6">
      <w:pPr>
        <w:widowControl w:val="0"/>
        <w:autoSpaceDE w:val="0"/>
        <w:autoSpaceDN w:val="0"/>
        <w:adjustRightInd w:val="0"/>
        <w:contextualSpacing/>
        <w:rPr>
          <w:rFonts w:asciiTheme="minorHAnsi" w:hAnsiTheme="minorHAnsi" w:cstheme="minorHAnsi"/>
          <w:sz w:val="20"/>
          <w:szCs w:val="20"/>
          <w:lang w:eastAsia="ja-JP"/>
        </w:rPr>
      </w:pPr>
      <w:r w:rsidRPr="00FB02D6">
        <w:rPr>
          <w:rFonts w:asciiTheme="minorHAnsi" w:hAnsiTheme="minorHAnsi" w:cstheme="minorHAnsi"/>
          <w:sz w:val="20"/>
          <w:szCs w:val="20"/>
          <w:lang w:eastAsia="ja-JP"/>
        </w:rPr>
        <w:t>The intended outcome is to provide a reliable, contemporary clinical reference.</w:t>
      </w:r>
    </w:p>
    <w:p w:rsidR="00FB02D6" w:rsidRPr="00FB02D6" w:rsidRDefault="00FB02D6" w:rsidP="00FB02D6">
      <w:pPr>
        <w:widowControl w:val="0"/>
        <w:autoSpaceDE w:val="0"/>
        <w:autoSpaceDN w:val="0"/>
        <w:adjustRightInd w:val="0"/>
        <w:contextualSpacing/>
        <w:rPr>
          <w:rFonts w:asciiTheme="minorHAnsi" w:hAnsiTheme="minorHAnsi" w:cstheme="minorHAnsi"/>
          <w:sz w:val="20"/>
          <w:szCs w:val="20"/>
          <w:lang w:eastAsia="ja-JP"/>
        </w:rPr>
      </w:pPr>
    </w:p>
    <w:p w:rsidR="00FB02D6" w:rsidRPr="00FB02D6" w:rsidRDefault="00FB02D6" w:rsidP="00FB02D6">
      <w:pPr>
        <w:widowControl w:val="0"/>
        <w:autoSpaceDE w:val="0"/>
        <w:autoSpaceDN w:val="0"/>
        <w:adjustRightInd w:val="0"/>
        <w:contextualSpacing/>
        <w:rPr>
          <w:rFonts w:asciiTheme="minorHAnsi" w:hAnsiTheme="minorHAnsi" w:cstheme="minorHAnsi"/>
          <w:sz w:val="20"/>
          <w:szCs w:val="20"/>
          <w:lang w:eastAsia="ja-JP"/>
        </w:rPr>
      </w:pPr>
      <w:r w:rsidRPr="00FB02D6">
        <w:rPr>
          <w:rFonts w:asciiTheme="minorHAnsi" w:hAnsiTheme="minorHAnsi" w:cstheme="minorHAnsi"/>
          <w:sz w:val="20"/>
          <w:szCs w:val="20"/>
          <w:lang w:eastAsia="ja-JP"/>
        </w:rPr>
        <w:t>In addition, these programmes benefit patients by encouraging and ensuring competent GPs return to General Practice in Scotland.</w:t>
      </w:r>
    </w:p>
    <w:p w:rsidR="00FB02D6" w:rsidRPr="00FB02D6" w:rsidRDefault="00FB02D6" w:rsidP="00FB02D6">
      <w:pPr>
        <w:widowControl w:val="0"/>
        <w:autoSpaceDE w:val="0"/>
        <w:autoSpaceDN w:val="0"/>
        <w:adjustRightInd w:val="0"/>
        <w:contextualSpacing/>
        <w:rPr>
          <w:rFonts w:asciiTheme="minorHAnsi" w:hAnsiTheme="minorHAnsi" w:cstheme="minorHAnsi"/>
          <w:sz w:val="20"/>
          <w:szCs w:val="20"/>
          <w:lang w:eastAsia="ja-JP"/>
        </w:rPr>
      </w:pPr>
    </w:p>
    <w:p w:rsidR="00FB02D6" w:rsidRDefault="00FB02D6" w:rsidP="00FB02D6">
      <w:pPr>
        <w:spacing w:line="300" w:lineRule="auto"/>
        <w:rPr>
          <w:rFonts w:asciiTheme="minorHAnsi" w:hAnsiTheme="minorHAnsi" w:cstheme="minorHAnsi"/>
          <w:color w:val="000000"/>
          <w:sz w:val="20"/>
          <w:szCs w:val="20"/>
        </w:rPr>
      </w:pPr>
    </w:p>
    <w:p w:rsidR="00FB02D6" w:rsidRDefault="00FB02D6" w:rsidP="00FB02D6">
      <w:pPr>
        <w:spacing w:line="300" w:lineRule="auto"/>
        <w:rPr>
          <w:rFonts w:asciiTheme="minorHAnsi" w:hAnsiTheme="minorHAnsi" w:cstheme="minorHAnsi"/>
          <w:color w:val="000000"/>
          <w:sz w:val="20"/>
          <w:szCs w:val="20"/>
        </w:rPr>
      </w:pPr>
    </w:p>
    <w:p w:rsidR="00FB02D6" w:rsidRDefault="00FB02D6" w:rsidP="00FB02D6">
      <w:pPr>
        <w:spacing w:line="300" w:lineRule="auto"/>
        <w:rPr>
          <w:rFonts w:asciiTheme="minorHAnsi" w:hAnsiTheme="minorHAnsi" w:cstheme="minorHAnsi"/>
          <w:color w:val="000000"/>
          <w:sz w:val="20"/>
          <w:szCs w:val="20"/>
        </w:rPr>
      </w:pPr>
    </w:p>
    <w:p w:rsidR="00FB02D6" w:rsidRDefault="00FB02D6" w:rsidP="00FB02D6">
      <w:pPr>
        <w:spacing w:line="300" w:lineRule="auto"/>
        <w:rPr>
          <w:rFonts w:asciiTheme="minorHAnsi" w:hAnsiTheme="minorHAnsi" w:cstheme="minorHAnsi"/>
          <w:color w:val="000000"/>
          <w:sz w:val="20"/>
          <w:szCs w:val="20"/>
        </w:rPr>
      </w:pPr>
    </w:p>
    <w:p w:rsidR="00FB02D6" w:rsidRPr="00FB02D6" w:rsidRDefault="00FB02D6" w:rsidP="00FB02D6">
      <w:pPr>
        <w:spacing w:line="300" w:lineRule="auto"/>
        <w:rPr>
          <w:rFonts w:asciiTheme="minorHAnsi" w:hAnsiTheme="minorHAnsi" w:cstheme="minorHAnsi"/>
          <w:color w:val="000000"/>
          <w:sz w:val="20"/>
          <w:szCs w:val="20"/>
        </w:rPr>
      </w:pPr>
    </w:p>
    <w:p w:rsidR="00FB02D6" w:rsidRDefault="00FB02D6" w:rsidP="00FB02D6">
      <w:pPr>
        <w:pStyle w:val="ListParagraph"/>
        <w:numPr>
          <w:ilvl w:val="0"/>
          <w:numId w:val="1"/>
        </w:numPr>
        <w:rPr>
          <w:rFonts w:asciiTheme="minorHAnsi" w:hAnsiTheme="minorHAnsi" w:cstheme="minorHAnsi"/>
          <w:b/>
          <w:color w:val="000000"/>
          <w:sz w:val="22"/>
          <w:szCs w:val="22"/>
        </w:rPr>
      </w:pPr>
      <w:r w:rsidRPr="00FB02D6">
        <w:rPr>
          <w:rFonts w:asciiTheme="minorHAnsi" w:hAnsiTheme="minorHAnsi" w:cstheme="minorHAnsi"/>
          <w:b/>
          <w:color w:val="000000"/>
          <w:sz w:val="22"/>
          <w:szCs w:val="22"/>
        </w:rPr>
        <w:t>NES’s role in delivering the programme.</w:t>
      </w:r>
    </w:p>
    <w:p w:rsidR="00FB02D6" w:rsidRPr="00FB02D6" w:rsidRDefault="00FB02D6" w:rsidP="00FB02D6">
      <w:pPr>
        <w:pStyle w:val="ListParagraph"/>
        <w:ind w:left="785"/>
        <w:rPr>
          <w:rFonts w:asciiTheme="minorHAnsi" w:hAnsiTheme="minorHAnsi" w:cstheme="minorHAnsi"/>
          <w:b/>
          <w:color w:val="000000"/>
          <w:sz w:val="22"/>
          <w:szCs w:val="22"/>
        </w:rPr>
      </w:pPr>
    </w:p>
    <w:p w:rsidR="00FB02D6" w:rsidRPr="00FB02D6" w:rsidRDefault="00FB02D6" w:rsidP="00FB02D6">
      <w:pPr>
        <w:pStyle w:val="ListParagraph"/>
        <w:ind w:left="785"/>
        <w:rPr>
          <w:rFonts w:asciiTheme="minorHAnsi" w:hAnsiTheme="minorHAnsi"/>
          <w:sz w:val="20"/>
          <w:szCs w:val="20"/>
        </w:rPr>
      </w:pPr>
    </w:p>
    <w:p w:rsidR="00FB02D6" w:rsidRDefault="00FB02D6" w:rsidP="00FB02D6">
      <w:pPr>
        <w:spacing w:line="300" w:lineRule="auto"/>
        <w:rPr>
          <w:rFonts w:asciiTheme="minorHAnsi" w:hAnsiTheme="minorHAnsi" w:cstheme="minorHAnsi"/>
          <w:color w:val="000000"/>
          <w:sz w:val="20"/>
          <w:szCs w:val="20"/>
        </w:rPr>
      </w:pPr>
      <w:r w:rsidRPr="00FB02D6">
        <w:rPr>
          <w:rFonts w:asciiTheme="minorHAnsi" w:hAnsiTheme="minorHAnsi" w:cstheme="minorHAnsi"/>
          <w:color w:val="000000"/>
          <w:sz w:val="20"/>
          <w:szCs w:val="20"/>
        </w:rPr>
        <w:t xml:space="preserve">NES’s role is to establish the eligibility and suitability of the doctor to be offered a funded place on one or other of these programmes, to manage, through its network of GMC approved trainers, a practice attachment and workplace based assessments, to ensure a summative outcome is decided and communicated to Health Boards in order to support the latter’s decision to agree or reject inclusion on their Performers’ Lists. </w:t>
      </w:r>
    </w:p>
    <w:p w:rsidR="00FB02D6" w:rsidRDefault="00FB02D6" w:rsidP="00FB02D6">
      <w:pPr>
        <w:spacing w:line="300" w:lineRule="auto"/>
        <w:rPr>
          <w:rFonts w:asciiTheme="minorHAnsi" w:hAnsiTheme="minorHAnsi" w:cstheme="minorHAnsi"/>
          <w:color w:val="000000"/>
          <w:sz w:val="20"/>
          <w:szCs w:val="20"/>
        </w:rPr>
      </w:pPr>
    </w:p>
    <w:p w:rsidR="00FB02D6" w:rsidRDefault="00FB02D6" w:rsidP="00FB02D6">
      <w:pPr>
        <w:spacing w:line="300" w:lineRule="auto"/>
        <w:rPr>
          <w:rFonts w:asciiTheme="minorHAnsi" w:hAnsiTheme="minorHAnsi" w:cstheme="minorHAnsi"/>
          <w:color w:val="000000"/>
          <w:sz w:val="20"/>
          <w:szCs w:val="20"/>
        </w:rPr>
      </w:pPr>
      <w:r w:rsidRPr="00FB02D6">
        <w:rPr>
          <w:rFonts w:asciiTheme="minorHAnsi" w:hAnsiTheme="minorHAnsi" w:cstheme="minorHAnsi"/>
          <w:color w:val="000000"/>
          <w:sz w:val="20"/>
          <w:szCs w:val="20"/>
        </w:rPr>
        <w:t xml:space="preserve">NES employs these doctors for the duration of their programme and would therefore be responsible for funding reasonable adjustments for disabled doctors should such funding be required. </w:t>
      </w:r>
    </w:p>
    <w:p w:rsidR="00FB02D6" w:rsidRDefault="00FB02D6" w:rsidP="00FB02D6">
      <w:pPr>
        <w:spacing w:line="300" w:lineRule="auto"/>
        <w:rPr>
          <w:rFonts w:asciiTheme="minorHAnsi" w:hAnsiTheme="minorHAnsi" w:cstheme="minorHAnsi"/>
          <w:color w:val="000000"/>
          <w:sz w:val="20"/>
          <w:szCs w:val="20"/>
        </w:rPr>
      </w:pPr>
    </w:p>
    <w:p w:rsidR="00FB02D6" w:rsidRPr="00FB02D6" w:rsidRDefault="00FB02D6" w:rsidP="00FB02D6">
      <w:pPr>
        <w:spacing w:line="300" w:lineRule="auto"/>
        <w:rPr>
          <w:rFonts w:asciiTheme="minorHAnsi" w:hAnsiTheme="minorHAnsi" w:cstheme="minorHAnsi"/>
          <w:color w:val="000000"/>
          <w:sz w:val="20"/>
          <w:szCs w:val="20"/>
        </w:rPr>
      </w:pPr>
      <w:r w:rsidRPr="00FB02D6">
        <w:rPr>
          <w:rFonts w:asciiTheme="minorHAnsi" w:hAnsiTheme="minorHAnsi" w:cstheme="minorHAnsi"/>
          <w:color w:val="000000"/>
          <w:sz w:val="20"/>
          <w:szCs w:val="20"/>
        </w:rPr>
        <w:t xml:space="preserve">To be eligible for the Enhanced Induction Programme, the applicant must successfully complete national assessments which are organised and managed through the GP National Recruitment Office. The NES GP Advisor is responsible for facilitating arrangements, liaising with the NRO and managing outcome through either inclusion on the programme or career advice. </w:t>
      </w:r>
    </w:p>
    <w:p w:rsidR="00FB02D6" w:rsidRPr="00FB02D6" w:rsidRDefault="00FB02D6" w:rsidP="00FB02D6">
      <w:pPr>
        <w:spacing w:line="300" w:lineRule="auto"/>
        <w:rPr>
          <w:rFonts w:asciiTheme="minorHAnsi" w:hAnsiTheme="minorHAnsi" w:cstheme="minorHAnsi"/>
          <w:color w:val="000000"/>
          <w:sz w:val="20"/>
          <w:szCs w:val="20"/>
        </w:rPr>
      </w:pPr>
    </w:p>
    <w:p w:rsidR="00FB02D6" w:rsidRPr="00FB02D6" w:rsidRDefault="00FB02D6" w:rsidP="00FB02D6">
      <w:pPr>
        <w:spacing w:line="300" w:lineRule="auto"/>
        <w:rPr>
          <w:rFonts w:asciiTheme="minorHAnsi" w:hAnsiTheme="minorHAnsi" w:cstheme="minorHAnsi"/>
          <w:color w:val="000000"/>
          <w:sz w:val="22"/>
          <w:szCs w:val="22"/>
        </w:rPr>
      </w:pPr>
    </w:p>
    <w:p w:rsidR="00FB02D6" w:rsidRPr="00FB02D6" w:rsidRDefault="00FB02D6" w:rsidP="00FB02D6">
      <w:pPr>
        <w:pStyle w:val="ListParagraph"/>
        <w:numPr>
          <w:ilvl w:val="0"/>
          <w:numId w:val="1"/>
        </w:numPr>
        <w:spacing w:line="300" w:lineRule="auto"/>
        <w:rPr>
          <w:rFonts w:asciiTheme="minorHAnsi" w:hAnsiTheme="minorHAnsi" w:cstheme="minorHAnsi"/>
          <w:b/>
          <w:color w:val="000000"/>
          <w:sz w:val="22"/>
          <w:szCs w:val="22"/>
        </w:rPr>
      </w:pPr>
      <w:r w:rsidRPr="00FB02D6">
        <w:rPr>
          <w:rFonts w:asciiTheme="minorHAnsi" w:hAnsiTheme="minorHAnsi" w:cstheme="minorHAnsi"/>
          <w:b/>
          <w:color w:val="000000"/>
          <w:sz w:val="22"/>
          <w:szCs w:val="22"/>
        </w:rPr>
        <w:t>The expected scope and duration of the programme.</w:t>
      </w:r>
    </w:p>
    <w:p w:rsidR="00FB02D6" w:rsidRPr="00FB02D6" w:rsidRDefault="00FB02D6" w:rsidP="00FB02D6">
      <w:pPr>
        <w:spacing w:line="300" w:lineRule="auto"/>
        <w:rPr>
          <w:rFonts w:asciiTheme="minorHAnsi" w:hAnsiTheme="minorHAnsi" w:cstheme="minorHAnsi"/>
          <w:color w:val="000000"/>
          <w:sz w:val="20"/>
          <w:szCs w:val="20"/>
        </w:rPr>
      </w:pPr>
      <w:r w:rsidRPr="00FB02D6">
        <w:rPr>
          <w:rFonts w:asciiTheme="minorHAnsi" w:hAnsiTheme="minorHAnsi" w:cstheme="minorHAnsi"/>
          <w:color w:val="000000"/>
          <w:sz w:val="20"/>
          <w:szCs w:val="20"/>
        </w:rPr>
        <w:t>Historically, approximately 5-6 GP Returners have been included in a similar programme per annum in Scotland. There has been no funding in Scotland to support doctors who have never worked in NHS GP before. It is this latter group for whom the Scotland Enhanced Induction programme has been designed which involves UK entry assessments managed through the National Recruitment Office. The size of the audience is unknown as steps are being taken to promote these programmes more actively both in the UK and abroad to encourage doctors to return from career breaks and from working abroad. We welcome those who have never worked in NHS GP before – the GP Enhanced Induction programme is aligned to that offered in England to ensure a consistent standard is applied for this group across the UK.</w:t>
      </w:r>
    </w:p>
    <w:p w:rsidR="00FB02D6" w:rsidRPr="00FB02D6" w:rsidRDefault="00FB02D6" w:rsidP="00FB02D6">
      <w:pPr>
        <w:spacing w:line="300" w:lineRule="auto"/>
        <w:rPr>
          <w:rFonts w:asciiTheme="minorHAnsi" w:hAnsiTheme="minorHAnsi" w:cstheme="minorHAnsi"/>
          <w:color w:val="000000"/>
          <w:sz w:val="20"/>
          <w:szCs w:val="20"/>
        </w:rPr>
      </w:pPr>
    </w:p>
    <w:p w:rsidR="00A50DE0" w:rsidRPr="00A50DE0" w:rsidRDefault="00FB02D6" w:rsidP="00A50DE0">
      <w:pPr>
        <w:spacing w:line="300" w:lineRule="auto"/>
        <w:rPr>
          <w:rFonts w:asciiTheme="minorHAnsi" w:hAnsiTheme="minorHAnsi" w:cstheme="minorHAnsi"/>
          <w:color w:val="000000"/>
          <w:sz w:val="20"/>
          <w:szCs w:val="20"/>
        </w:rPr>
      </w:pPr>
      <w:r w:rsidRPr="00FB02D6">
        <w:rPr>
          <w:rFonts w:asciiTheme="minorHAnsi" w:hAnsiTheme="minorHAnsi" w:cstheme="minorHAnsi"/>
          <w:color w:val="000000"/>
          <w:sz w:val="20"/>
          <w:szCs w:val="20"/>
        </w:rPr>
        <w:t xml:space="preserve">Funding is being </w:t>
      </w:r>
      <w:r>
        <w:rPr>
          <w:rFonts w:asciiTheme="minorHAnsi" w:hAnsiTheme="minorHAnsi" w:cstheme="minorHAnsi"/>
          <w:color w:val="000000"/>
          <w:sz w:val="20"/>
          <w:szCs w:val="20"/>
        </w:rPr>
        <w:t xml:space="preserve">provided by Scottish Government. </w:t>
      </w:r>
      <w:r w:rsidRPr="00FB02D6">
        <w:rPr>
          <w:rFonts w:asciiTheme="minorHAnsi" w:hAnsiTheme="minorHAnsi" w:cstheme="minorHAnsi"/>
          <w:color w:val="000000"/>
          <w:sz w:val="20"/>
          <w:szCs w:val="20"/>
        </w:rPr>
        <w:t>This initiative is to be welcome in an effort to encourage already well trained GPs back into the Scottish GP workforce. The programme is dependent on sustainable funding.</w:t>
      </w:r>
      <w:r w:rsidR="00A50DE0">
        <w:rPr>
          <w:rFonts w:asciiTheme="minorHAnsi" w:hAnsiTheme="minorHAnsi" w:cstheme="minorHAnsi"/>
          <w:color w:val="000000"/>
          <w:sz w:val="20"/>
          <w:szCs w:val="20"/>
        </w:rPr>
        <w:t xml:space="preserve"> </w:t>
      </w:r>
      <w:r w:rsidR="00A50DE0" w:rsidRPr="00A50DE0">
        <w:rPr>
          <w:rFonts w:asciiTheme="minorHAnsi" w:eastAsiaTheme="minorHAnsi" w:hAnsiTheme="minorHAnsi" w:cs="Arial"/>
          <w:color w:val="000000" w:themeColor="text1"/>
          <w:sz w:val="20"/>
          <w:szCs w:val="20"/>
          <w:lang w:eastAsia="en-US"/>
        </w:rPr>
        <w:t>The economic case to support investment in a GP Returner Programme is described in Br J Gen Prac 2014 Jan: 64(618): 46-47 GP Induction and refresher and retainer schemes: are they cost effective? Harris M, Morison J, Main P.</w:t>
      </w:r>
    </w:p>
    <w:p w:rsidR="00FB02D6" w:rsidRPr="00FB02D6" w:rsidRDefault="00FB02D6" w:rsidP="00FB02D6">
      <w:pPr>
        <w:spacing w:line="300" w:lineRule="auto"/>
        <w:rPr>
          <w:rFonts w:asciiTheme="minorHAnsi" w:hAnsiTheme="minorHAnsi" w:cstheme="minorHAnsi"/>
          <w:color w:val="000000"/>
          <w:sz w:val="20"/>
          <w:szCs w:val="20"/>
        </w:rPr>
      </w:pPr>
    </w:p>
    <w:p w:rsidR="00FB02D6" w:rsidRPr="00FB02D6" w:rsidRDefault="00FB02D6" w:rsidP="00FB02D6">
      <w:pPr>
        <w:spacing w:line="300" w:lineRule="auto"/>
        <w:rPr>
          <w:rFonts w:asciiTheme="minorHAnsi" w:hAnsiTheme="minorHAnsi" w:cstheme="minorHAnsi"/>
          <w:color w:val="000000"/>
          <w:sz w:val="20"/>
          <w:szCs w:val="20"/>
        </w:rPr>
      </w:pPr>
    </w:p>
    <w:p w:rsidR="00FB02D6" w:rsidRPr="00FB02D6" w:rsidRDefault="00FB02D6" w:rsidP="00FB02D6">
      <w:pPr>
        <w:spacing w:line="300" w:lineRule="auto"/>
        <w:rPr>
          <w:rFonts w:asciiTheme="minorHAnsi" w:hAnsiTheme="minorHAnsi" w:cstheme="minorHAnsi"/>
          <w:color w:val="000000"/>
          <w:sz w:val="20"/>
          <w:szCs w:val="20"/>
        </w:rPr>
      </w:pPr>
    </w:p>
    <w:p w:rsidR="00FB02D6" w:rsidRPr="00FB02D6" w:rsidRDefault="00FB02D6" w:rsidP="00FB02D6">
      <w:pPr>
        <w:spacing w:line="276" w:lineRule="auto"/>
        <w:ind w:firstLine="360"/>
        <w:rPr>
          <w:rFonts w:asciiTheme="minorHAnsi" w:hAnsiTheme="minorHAnsi" w:cstheme="minorHAnsi"/>
          <w:b/>
          <w:sz w:val="22"/>
          <w:szCs w:val="22"/>
        </w:rPr>
      </w:pPr>
      <w:r w:rsidRPr="00FB02D6">
        <w:rPr>
          <w:rFonts w:asciiTheme="minorHAnsi" w:hAnsiTheme="minorHAnsi" w:cstheme="minorHAnsi"/>
          <w:b/>
          <w:sz w:val="22"/>
          <w:szCs w:val="22"/>
        </w:rPr>
        <w:t xml:space="preserve">4. </w:t>
      </w:r>
      <w:r>
        <w:rPr>
          <w:rFonts w:asciiTheme="minorHAnsi" w:hAnsiTheme="minorHAnsi" w:cstheme="minorHAnsi"/>
          <w:b/>
          <w:sz w:val="22"/>
          <w:szCs w:val="22"/>
        </w:rPr>
        <w:tab/>
      </w:r>
      <w:r w:rsidRPr="00FB02D6">
        <w:rPr>
          <w:rFonts w:asciiTheme="minorHAnsi" w:hAnsiTheme="minorHAnsi" w:cstheme="minorHAnsi"/>
          <w:b/>
          <w:sz w:val="22"/>
          <w:szCs w:val="22"/>
        </w:rPr>
        <w:t>The relevance of equality to these programmes.</w:t>
      </w:r>
    </w:p>
    <w:p w:rsidR="00FB02D6" w:rsidRPr="00FB02D6" w:rsidRDefault="00FB02D6" w:rsidP="00FB02D6">
      <w:pPr>
        <w:spacing w:line="276" w:lineRule="auto"/>
        <w:rPr>
          <w:rFonts w:asciiTheme="minorHAnsi" w:hAnsiTheme="minorHAnsi" w:cstheme="minorHAnsi"/>
          <w:b/>
          <w:sz w:val="20"/>
          <w:szCs w:val="20"/>
        </w:rPr>
      </w:pPr>
    </w:p>
    <w:p w:rsidR="00FB02D6" w:rsidRPr="00FB02D6" w:rsidRDefault="00FB02D6" w:rsidP="00FB02D6">
      <w:pPr>
        <w:pStyle w:val="ListParagraph"/>
        <w:numPr>
          <w:ilvl w:val="0"/>
          <w:numId w:val="6"/>
        </w:numPr>
        <w:spacing w:line="276" w:lineRule="auto"/>
        <w:rPr>
          <w:rFonts w:asciiTheme="minorHAnsi" w:hAnsiTheme="minorHAnsi" w:cstheme="minorHAnsi"/>
          <w:sz w:val="20"/>
          <w:szCs w:val="20"/>
        </w:rPr>
      </w:pPr>
      <w:r w:rsidRPr="00FB02D6">
        <w:rPr>
          <w:rFonts w:asciiTheme="minorHAnsi" w:hAnsiTheme="minorHAnsi" w:cstheme="minorHAnsi"/>
          <w:sz w:val="20"/>
          <w:szCs w:val="20"/>
        </w:rPr>
        <w:t>These programmes are available to all GMC registered GPs who have a licence to practice and who have a long term commitment to live and work in Scotland.</w:t>
      </w:r>
    </w:p>
    <w:p w:rsidR="00FB02D6" w:rsidRPr="00FB02D6" w:rsidRDefault="00FB02D6" w:rsidP="00FB02D6">
      <w:pPr>
        <w:pStyle w:val="ListParagraph"/>
        <w:spacing w:line="276" w:lineRule="auto"/>
        <w:rPr>
          <w:rFonts w:asciiTheme="minorHAnsi" w:hAnsiTheme="minorHAnsi" w:cstheme="minorHAnsi"/>
          <w:sz w:val="20"/>
          <w:szCs w:val="20"/>
        </w:rPr>
      </w:pPr>
    </w:p>
    <w:p w:rsidR="00FB02D6" w:rsidRPr="00FB02D6" w:rsidRDefault="00FB02D6" w:rsidP="00FB02D6">
      <w:pPr>
        <w:pStyle w:val="ListParagraph"/>
        <w:numPr>
          <w:ilvl w:val="0"/>
          <w:numId w:val="5"/>
        </w:numPr>
        <w:spacing w:line="276" w:lineRule="auto"/>
        <w:rPr>
          <w:rFonts w:asciiTheme="minorHAnsi" w:hAnsiTheme="minorHAnsi" w:cstheme="minorHAnsi"/>
          <w:sz w:val="20"/>
          <w:szCs w:val="20"/>
        </w:rPr>
      </w:pPr>
      <w:r w:rsidRPr="00FB02D6">
        <w:rPr>
          <w:rFonts w:asciiTheme="minorHAnsi" w:hAnsiTheme="minorHAnsi" w:cstheme="minorHAnsi"/>
          <w:sz w:val="20"/>
          <w:szCs w:val="20"/>
        </w:rPr>
        <w:t xml:space="preserve">A survey that we commissioned </w:t>
      </w:r>
      <w:r w:rsidR="00A50DE0">
        <w:rPr>
          <w:rFonts w:asciiTheme="minorHAnsi" w:hAnsiTheme="minorHAnsi" w:cstheme="minorHAnsi"/>
          <w:sz w:val="20"/>
          <w:szCs w:val="20"/>
        </w:rPr>
        <w:t xml:space="preserve">and carried out by an independent company known as Wild Heather Research, </w:t>
      </w:r>
      <w:r w:rsidRPr="00FB02D6">
        <w:rPr>
          <w:rFonts w:asciiTheme="minorHAnsi" w:hAnsiTheme="minorHAnsi" w:cstheme="minorHAnsi"/>
          <w:sz w:val="20"/>
          <w:szCs w:val="20"/>
        </w:rPr>
        <w:t>identified those most likely to return are those who have chosen to take a career break to bring up young families, those who have left to work abroad but who want to return home to care for elderly relatives and those who have retired prematurely and miss clinical practice. There is no limit in terms of eligibility, to time out of practice, gender, disability or age.</w:t>
      </w:r>
    </w:p>
    <w:p w:rsidR="00FB02D6" w:rsidRPr="00FB02D6" w:rsidRDefault="00FB02D6" w:rsidP="00FB02D6">
      <w:pPr>
        <w:spacing w:line="276" w:lineRule="auto"/>
        <w:rPr>
          <w:rFonts w:asciiTheme="minorHAnsi" w:hAnsiTheme="minorHAnsi" w:cstheme="minorHAnsi"/>
          <w:sz w:val="20"/>
          <w:szCs w:val="20"/>
        </w:rPr>
      </w:pPr>
    </w:p>
    <w:p w:rsidR="00FB02D6" w:rsidRPr="00FB02D6" w:rsidRDefault="00FB02D6" w:rsidP="00FB02D6">
      <w:pPr>
        <w:numPr>
          <w:ilvl w:val="0"/>
          <w:numId w:val="2"/>
        </w:numPr>
        <w:spacing w:line="276" w:lineRule="auto"/>
        <w:rPr>
          <w:rFonts w:asciiTheme="minorHAnsi" w:hAnsiTheme="minorHAnsi" w:cstheme="minorHAnsi"/>
          <w:sz w:val="20"/>
          <w:szCs w:val="20"/>
        </w:rPr>
      </w:pPr>
      <w:r w:rsidRPr="00FB02D6">
        <w:rPr>
          <w:rFonts w:asciiTheme="minorHAnsi" w:hAnsiTheme="minorHAnsi" w:cstheme="minorHAnsi"/>
          <w:sz w:val="20"/>
          <w:szCs w:val="20"/>
        </w:rPr>
        <w:t>These programmes have been designed to provide induction and training which meets the needs of the individuals. The group of doctors accessing these programmes are diverse – by taking a more individual approach to induction and training we can insure that the programme is suitable and inclusive.</w:t>
      </w:r>
    </w:p>
    <w:p w:rsidR="00FB02D6" w:rsidRPr="00FB02D6" w:rsidRDefault="00FB02D6" w:rsidP="00A50DE0">
      <w:pPr>
        <w:spacing w:line="276" w:lineRule="auto"/>
        <w:rPr>
          <w:rFonts w:asciiTheme="minorHAnsi" w:hAnsiTheme="minorHAnsi" w:cstheme="minorHAnsi"/>
          <w:sz w:val="20"/>
          <w:szCs w:val="20"/>
        </w:rPr>
      </w:pPr>
    </w:p>
    <w:p w:rsidR="00FB02D6" w:rsidRPr="00FB02D6" w:rsidRDefault="00FB02D6" w:rsidP="00FB02D6">
      <w:pPr>
        <w:numPr>
          <w:ilvl w:val="0"/>
          <w:numId w:val="2"/>
        </w:numPr>
        <w:spacing w:line="276" w:lineRule="auto"/>
        <w:rPr>
          <w:rFonts w:asciiTheme="minorHAnsi" w:hAnsiTheme="minorHAnsi" w:cstheme="minorHAnsi"/>
          <w:sz w:val="20"/>
          <w:szCs w:val="20"/>
        </w:rPr>
      </w:pPr>
      <w:r w:rsidRPr="00FB02D6">
        <w:rPr>
          <w:rFonts w:asciiTheme="minorHAnsi" w:hAnsiTheme="minorHAnsi" w:cstheme="minorHAnsi"/>
          <w:sz w:val="20"/>
          <w:szCs w:val="20"/>
        </w:rPr>
        <w:t xml:space="preserve">Experience in Scotland and in a similar programme in England suggests that the educational needs of new or returning licensed GPs will vary depending on whether or not they have past experience of working in NHS General Practice. </w:t>
      </w:r>
    </w:p>
    <w:p w:rsidR="00FB02D6" w:rsidRPr="00FB02D6" w:rsidRDefault="00FB02D6" w:rsidP="00FB02D6">
      <w:pPr>
        <w:spacing w:line="276" w:lineRule="auto"/>
        <w:rPr>
          <w:rFonts w:asciiTheme="minorHAnsi" w:hAnsiTheme="minorHAnsi" w:cstheme="minorHAnsi"/>
          <w:sz w:val="20"/>
          <w:szCs w:val="20"/>
        </w:rPr>
      </w:pPr>
    </w:p>
    <w:p w:rsidR="00FB02D6" w:rsidRPr="00FB02D6" w:rsidRDefault="00FB02D6" w:rsidP="00FB02D6">
      <w:pPr>
        <w:numPr>
          <w:ilvl w:val="0"/>
          <w:numId w:val="2"/>
        </w:numPr>
        <w:spacing w:line="276" w:lineRule="auto"/>
        <w:rPr>
          <w:rFonts w:asciiTheme="minorHAnsi" w:hAnsiTheme="minorHAnsi" w:cstheme="minorHAnsi"/>
          <w:sz w:val="20"/>
          <w:szCs w:val="20"/>
        </w:rPr>
      </w:pPr>
      <w:r w:rsidRPr="00FB02D6">
        <w:rPr>
          <w:rFonts w:asciiTheme="minorHAnsi" w:hAnsiTheme="minorHAnsi"/>
          <w:sz w:val="20"/>
          <w:szCs w:val="20"/>
        </w:rPr>
        <w:t>Ismail and Roberts’ research for the GMC on the differential outcomes for internationally qualified doctors on the CSA concluded that differences in the structure of primary and secondary health care meant that internationally qualified doctors were likely to have different learning needs. It would not be unreasonable to relate this to GPs who have been working out with NHS GP.</w:t>
      </w:r>
    </w:p>
    <w:p w:rsidR="00FB02D6" w:rsidRPr="00FB02D6" w:rsidRDefault="00FB02D6" w:rsidP="00FB02D6">
      <w:pPr>
        <w:pStyle w:val="ListParagraph"/>
        <w:rPr>
          <w:rFonts w:asciiTheme="minorHAnsi" w:hAnsiTheme="minorHAnsi" w:cstheme="minorHAnsi"/>
          <w:sz w:val="20"/>
          <w:szCs w:val="20"/>
        </w:rPr>
      </w:pPr>
    </w:p>
    <w:p w:rsidR="00FB02D6" w:rsidRPr="00FB02D6" w:rsidRDefault="00FB02D6" w:rsidP="00FB02D6">
      <w:pPr>
        <w:numPr>
          <w:ilvl w:val="0"/>
          <w:numId w:val="2"/>
        </w:numPr>
        <w:spacing w:line="276" w:lineRule="auto"/>
        <w:rPr>
          <w:rFonts w:asciiTheme="minorHAnsi" w:hAnsiTheme="minorHAnsi" w:cstheme="minorHAnsi"/>
          <w:sz w:val="20"/>
          <w:szCs w:val="20"/>
        </w:rPr>
      </w:pPr>
      <w:r w:rsidRPr="00FB02D6">
        <w:rPr>
          <w:rFonts w:asciiTheme="minorHAnsi" w:hAnsiTheme="minorHAnsi" w:cstheme="minorHAnsi"/>
          <w:sz w:val="20"/>
          <w:szCs w:val="20"/>
        </w:rPr>
        <w:t>For these reasons, the programmes offered are different – the GP Returner Programme being specifically for those who have previously worked in NHS GP and the GP Enhanced Induction programme for those with no NHS GP experience.</w:t>
      </w:r>
    </w:p>
    <w:p w:rsidR="00FB02D6" w:rsidRPr="00FB02D6" w:rsidRDefault="00FB02D6" w:rsidP="00FB02D6">
      <w:pPr>
        <w:spacing w:line="276" w:lineRule="auto"/>
        <w:ind w:left="720"/>
        <w:rPr>
          <w:rFonts w:asciiTheme="minorHAnsi" w:hAnsiTheme="minorHAnsi" w:cstheme="minorHAnsi"/>
          <w:sz w:val="20"/>
          <w:szCs w:val="20"/>
        </w:rPr>
      </w:pPr>
    </w:p>
    <w:p w:rsidR="00FB02D6" w:rsidRPr="00FB02D6" w:rsidRDefault="00FB02D6" w:rsidP="00FB02D6">
      <w:pPr>
        <w:numPr>
          <w:ilvl w:val="0"/>
          <w:numId w:val="2"/>
        </w:numPr>
        <w:spacing w:line="276" w:lineRule="auto"/>
        <w:rPr>
          <w:rFonts w:asciiTheme="minorHAnsi" w:hAnsiTheme="minorHAnsi" w:cstheme="minorHAnsi"/>
          <w:sz w:val="20"/>
          <w:szCs w:val="20"/>
        </w:rPr>
      </w:pPr>
      <w:r w:rsidRPr="00FB02D6">
        <w:rPr>
          <w:rFonts w:asciiTheme="minorHAnsi" w:hAnsiTheme="minorHAnsi" w:cstheme="minorHAnsi"/>
          <w:sz w:val="20"/>
          <w:szCs w:val="20"/>
        </w:rPr>
        <w:t>Differences between the programmes are based on previous work experience rather than country of qualification. These programmes are designed to support all doctors who are acknowledged as having completed GPST or equivalent to the same end point which is an assessment made by the educational supervisor that they have reached the standard for independent practice.</w:t>
      </w:r>
    </w:p>
    <w:p w:rsidR="00FB02D6" w:rsidRPr="00FB02D6" w:rsidRDefault="00FB02D6" w:rsidP="00FB02D6">
      <w:pPr>
        <w:pStyle w:val="ListParagraph"/>
        <w:rPr>
          <w:rFonts w:asciiTheme="minorHAnsi" w:hAnsiTheme="minorHAnsi" w:cstheme="minorHAnsi"/>
          <w:sz w:val="20"/>
          <w:szCs w:val="20"/>
        </w:rPr>
      </w:pPr>
    </w:p>
    <w:p w:rsidR="00FB02D6" w:rsidRPr="00FB02D6" w:rsidRDefault="00FB02D6" w:rsidP="00FB02D6">
      <w:pPr>
        <w:numPr>
          <w:ilvl w:val="0"/>
          <w:numId w:val="2"/>
        </w:numPr>
        <w:spacing w:line="276" w:lineRule="auto"/>
        <w:rPr>
          <w:rFonts w:asciiTheme="minorHAnsi" w:hAnsiTheme="minorHAnsi" w:cstheme="minorHAnsi"/>
          <w:sz w:val="20"/>
          <w:szCs w:val="20"/>
        </w:rPr>
      </w:pPr>
      <w:r w:rsidRPr="00FB02D6">
        <w:rPr>
          <w:rFonts w:asciiTheme="minorHAnsi" w:hAnsiTheme="minorHAnsi" w:cstheme="minorHAnsi"/>
          <w:sz w:val="20"/>
          <w:szCs w:val="20"/>
        </w:rPr>
        <w:t xml:space="preserve">The length of time on the programme is determined mutually, after a formal semi-structured interview and will be up to a maximum of six months or equivalent part-time. </w:t>
      </w:r>
    </w:p>
    <w:p w:rsidR="00FB02D6" w:rsidRPr="00FB02D6" w:rsidRDefault="00FB02D6" w:rsidP="00FB02D6">
      <w:pPr>
        <w:pStyle w:val="ListParagraph"/>
        <w:rPr>
          <w:rFonts w:asciiTheme="minorHAnsi" w:hAnsiTheme="minorHAnsi" w:cstheme="minorHAnsi"/>
          <w:sz w:val="20"/>
          <w:szCs w:val="20"/>
        </w:rPr>
      </w:pPr>
    </w:p>
    <w:p w:rsidR="00FB02D6" w:rsidRPr="00FB02D6" w:rsidRDefault="00FB02D6" w:rsidP="00FB02D6">
      <w:pPr>
        <w:spacing w:line="276" w:lineRule="auto"/>
        <w:ind w:left="720"/>
        <w:rPr>
          <w:rFonts w:asciiTheme="minorHAnsi" w:hAnsiTheme="minorHAnsi" w:cstheme="minorHAnsi"/>
          <w:sz w:val="20"/>
          <w:szCs w:val="20"/>
        </w:rPr>
      </w:pPr>
    </w:p>
    <w:p w:rsidR="00FB02D6" w:rsidRPr="00FB02D6" w:rsidRDefault="00FB02D6" w:rsidP="00FB02D6">
      <w:pPr>
        <w:numPr>
          <w:ilvl w:val="0"/>
          <w:numId w:val="2"/>
        </w:numPr>
        <w:spacing w:line="276" w:lineRule="auto"/>
        <w:rPr>
          <w:rFonts w:asciiTheme="minorHAnsi" w:hAnsiTheme="minorHAnsi" w:cstheme="minorHAnsi"/>
          <w:sz w:val="20"/>
          <w:szCs w:val="20"/>
        </w:rPr>
      </w:pPr>
      <w:r w:rsidRPr="00FB02D6">
        <w:rPr>
          <w:rFonts w:asciiTheme="minorHAnsi" w:hAnsiTheme="minorHAnsi" w:cstheme="minorHAnsi"/>
          <w:sz w:val="20"/>
          <w:szCs w:val="20"/>
        </w:rPr>
        <w:t>The programmes have been designed to ensure that GPs can access education which is relevant to their needs, regardless of their ethnicity, national origin, gender, age, disability or other factors. Individual assessment of learning need will inform development of the specific programme.</w:t>
      </w:r>
    </w:p>
    <w:p w:rsidR="00FB02D6" w:rsidRPr="00FB02D6" w:rsidRDefault="00FB02D6" w:rsidP="00FB02D6">
      <w:pPr>
        <w:spacing w:line="276" w:lineRule="auto"/>
        <w:rPr>
          <w:rFonts w:asciiTheme="minorHAnsi" w:hAnsiTheme="minorHAnsi" w:cstheme="minorHAnsi"/>
          <w:b/>
          <w:sz w:val="20"/>
          <w:szCs w:val="20"/>
        </w:rPr>
      </w:pPr>
    </w:p>
    <w:p w:rsidR="00FB02D6" w:rsidRPr="00FB02D6" w:rsidRDefault="00FB02D6" w:rsidP="00FB02D6">
      <w:pPr>
        <w:numPr>
          <w:ilvl w:val="0"/>
          <w:numId w:val="2"/>
        </w:numPr>
        <w:spacing w:line="276" w:lineRule="auto"/>
        <w:rPr>
          <w:rFonts w:asciiTheme="minorHAnsi" w:hAnsiTheme="minorHAnsi" w:cstheme="minorHAnsi"/>
          <w:sz w:val="20"/>
          <w:szCs w:val="20"/>
        </w:rPr>
      </w:pPr>
      <w:r w:rsidRPr="00FB02D6">
        <w:rPr>
          <w:rFonts w:asciiTheme="minorHAnsi" w:hAnsiTheme="minorHAnsi" w:cstheme="minorHAnsi"/>
          <w:sz w:val="20"/>
          <w:szCs w:val="20"/>
        </w:rPr>
        <w:t>Clear communication about the aims and content of the programme to the target audiences will be important to support good relations and equality of opportunity.</w:t>
      </w:r>
    </w:p>
    <w:p w:rsidR="00FB02D6" w:rsidRPr="00FB02D6" w:rsidRDefault="00FB02D6" w:rsidP="00FB02D6">
      <w:pPr>
        <w:pStyle w:val="ListParagraph"/>
        <w:rPr>
          <w:rFonts w:asciiTheme="minorHAnsi" w:hAnsiTheme="minorHAnsi" w:cstheme="minorHAnsi"/>
          <w:sz w:val="20"/>
          <w:szCs w:val="20"/>
        </w:rPr>
      </w:pPr>
    </w:p>
    <w:p w:rsidR="00FB02D6" w:rsidRPr="00FB02D6" w:rsidRDefault="00FB02D6" w:rsidP="00FB02D6">
      <w:pPr>
        <w:numPr>
          <w:ilvl w:val="0"/>
          <w:numId w:val="2"/>
        </w:numPr>
        <w:spacing w:line="276" w:lineRule="auto"/>
        <w:rPr>
          <w:rFonts w:asciiTheme="minorHAnsi" w:hAnsiTheme="minorHAnsi" w:cstheme="minorHAnsi"/>
          <w:sz w:val="20"/>
          <w:szCs w:val="20"/>
        </w:rPr>
      </w:pPr>
      <w:r w:rsidRPr="00FB02D6">
        <w:rPr>
          <w:rFonts w:asciiTheme="minorHAnsi" w:hAnsiTheme="minorHAnsi" w:cstheme="minorHAnsi"/>
          <w:sz w:val="20"/>
          <w:szCs w:val="20"/>
        </w:rPr>
        <w:t>The summative assessments are appropriate mechanisms for ensuring that the GP can practice safely in NHSS. Both routes ensure that doctors undergo the same assessments, although they carry them out at different points in the programme.</w:t>
      </w:r>
    </w:p>
    <w:p w:rsidR="00FB02D6" w:rsidRPr="00FB02D6" w:rsidRDefault="00FB02D6" w:rsidP="00FB02D6">
      <w:pPr>
        <w:pStyle w:val="ListParagraph"/>
        <w:rPr>
          <w:rFonts w:asciiTheme="minorHAnsi" w:hAnsiTheme="minorHAnsi" w:cstheme="minorHAnsi"/>
          <w:sz w:val="20"/>
          <w:szCs w:val="20"/>
        </w:rPr>
      </w:pPr>
    </w:p>
    <w:p w:rsidR="00FB02D6" w:rsidRPr="00FB02D6" w:rsidRDefault="00FB02D6" w:rsidP="00FB02D6">
      <w:pPr>
        <w:numPr>
          <w:ilvl w:val="0"/>
          <w:numId w:val="2"/>
        </w:numPr>
        <w:spacing w:line="276" w:lineRule="auto"/>
        <w:rPr>
          <w:rFonts w:asciiTheme="minorHAnsi" w:hAnsiTheme="minorHAnsi" w:cstheme="minorHAnsi"/>
          <w:sz w:val="20"/>
          <w:szCs w:val="20"/>
        </w:rPr>
      </w:pPr>
      <w:r w:rsidRPr="00FB02D6">
        <w:rPr>
          <w:rFonts w:asciiTheme="minorHAnsi" w:hAnsiTheme="minorHAnsi" w:cstheme="minorHAnsi"/>
          <w:sz w:val="20"/>
          <w:szCs w:val="20"/>
        </w:rPr>
        <w:t>NES is the employer of these doctors and has access to several hundred GMC approved training practices. NES is therefore able to accommodate those with disabilities and will provide necessary adaptations as recommended by our Occupational Health advisors.</w:t>
      </w:r>
    </w:p>
    <w:p w:rsidR="00FB02D6" w:rsidRPr="00FB02D6" w:rsidRDefault="00FB02D6" w:rsidP="00FB02D6">
      <w:pPr>
        <w:pStyle w:val="ListParagraph"/>
        <w:rPr>
          <w:rFonts w:asciiTheme="minorHAnsi" w:hAnsiTheme="minorHAnsi" w:cstheme="minorHAnsi"/>
          <w:sz w:val="20"/>
          <w:szCs w:val="20"/>
        </w:rPr>
      </w:pPr>
    </w:p>
    <w:p w:rsidR="00FB02D6" w:rsidRPr="00FB02D6" w:rsidRDefault="00FB02D6" w:rsidP="00FB02D6">
      <w:pPr>
        <w:numPr>
          <w:ilvl w:val="0"/>
          <w:numId w:val="2"/>
        </w:numPr>
        <w:spacing w:line="276" w:lineRule="auto"/>
        <w:rPr>
          <w:rFonts w:asciiTheme="minorHAnsi" w:hAnsiTheme="minorHAnsi" w:cstheme="minorHAnsi"/>
          <w:sz w:val="20"/>
          <w:szCs w:val="20"/>
        </w:rPr>
      </w:pPr>
      <w:r w:rsidRPr="00FB02D6">
        <w:rPr>
          <w:rFonts w:asciiTheme="minorHAnsi" w:hAnsiTheme="minorHAnsi" w:cstheme="minorHAnsi"/>
          <w:sz w:val="20"/>
          <w:szCs w:val="20"/>
        </w:rPr>
        <w:t>This EQIA has taken into account the UK Equality Act 2010.</w:t>
      </w:r>
    </w:p>
    <w:p w:rsidR="00FB02D6" w:rsidRPr="00FB02D6" w:rsidRDefault="00FB02D6" w:rsidP="00FB02D6">
      <w:pPr>
        <w:spacing w:line="276" w:lineRule="auto"/>
        <w:jc w:val="both"/>
        <w:rPr>
          <w:rFonts w:asciiTheme="minorHAnsi" w:hAnsiTheme="minorHAnsi" w:cstheme="minorHAnsi"/>
          <w:sz w:val="20"/>
          <w:szCs w:val="20"/>
        </w:rPr>
      </w:pPr>
    </w:p>
    <w:p w:rsidR="00FB02D6" w:rsidRPr="00FB02D6" w:rsidRDefault="00FB02D6" w:rsidP="00FB02D6">
      <w:pPr>
        <w:numPr>
          <w:ilvl w:val="0"/>
          <w:numId w:val="2"/>
        </w:numPr>
        <w:spacing w:line="276" w:lineRule="auto"/>
        <w:rPr>
          <w:rFonts w:asciiTheme="minorHAnsi" w:hAnsiTheme="minorHAnsi" w:cstheme="minorHAnsi"/>
          <w:sz w:val="20"/>
          <w:szCs w:val="20"/>
        </w:rPr>
      </w:pPr>
      <w:r w:rsidRPr="00FB02D6">
        <w:rPr>
          <w:rFonts w:asciiTheme="minorHAnsi" w:hAnsiTheme="minorHAnsi" w:cstheme="minorHAnsi"/>
          <w:sz w:val="20"/>
          <w:szCs w:val="20"/>
        </w:rPr>
        <w:t>All NES GP Educational Supervisors have had Equality and Diversity Training which is refreshed three yearly.</w:t>
      </w:r>
    </w:p>
    <w:p w:rsidR="00FB02D6" w:rsidRDefault="00FB02D6" w:rsidP="00FB02D6">
      <w:pPr>
        <w:spacing w:line="276" w:lineRule="auto"/>
        <w:rPr>
          <w:rFonts w:asciiTheme="minorHAnsi" w:hAnsiTheme="minorHAnsi" w:cstheme="minorHAnsi"/>
          <w:sz w:val="20"/>
          <w:szCs w:val="20"/>
        </w:rPr>
      </w:pPr>
    </w:p>
    <w:p w:rsidR="00A50DE0" w:rsidRPr="00FB02D6" w:rsidRDefault="00A50DE0" w:rsidP="00FB02D6">
      <w:pPr>
        <w:spacing w:line="276" w:lineRule="auto"/>
        <w:rPr>
          <w:rFonts w:asciiTheme="minorHAnsi" w:hAnsiTheme="minorHAnsi" w:cstheme="minorHAnsi"/>
          <w:sz w:val="20"/>
          <w:szCs w:val="20"/>
        </w:rPr>
      </w:pPr>
    </w:p>
    <w:p w:rsidR="00FB02D6" w:rsidRPr="00FB02D6" w:rsidRDefault="00FB02D6" w:rsidP="00FB02D6">
      <w:pPr>
        <w:rPr>
          <w:rFonts w:asciiTheme="minorHAnsi" w:hAnsiTheme="minorHAnsi" w:cstheme="minorHAnsi"/>
          <w:sz w:val="20"/>
          <w:szCs w:val="20"/>
        </w:rPr>
      </w:pPr>
    </w:p>
    <w:p w:rsidR="00FB02D6" w:rsidRPr="00FB02D6" w:rsidRDefault="00FB02D6" w:rsidP="00FB02D6">
      <w:pPr>
        <w:pStyle w:val="ListParagraph"/>
        <w:numPr>
          <w:ilvl w:val="0"/>
          <w:numId w:val="4"/>
        </w:numPr>
        <w:rPr>
          <w:rFonts w:asciiTheme="minorHAnsi" w:hAnsiTheme="minorHAnsi" w:cstheme="minorHAnsi"/>
          <w:i/>
          <w:sz w:val="22"/>
          <w:szCs w:val="22"/>
        </w:rPr>
      </w:pPr>
      <w:r w:rsidRPr="00FB02D6">
        <w:rPr>
          <w:rFonts w:asciiTheme="minorHAnsi" w:hAnsiTheme="minorHAnsi" w:cstheme="minorHAnsi"/>
          <w:b/>
          <w:sz w:val="22"/>
          <w:szCs w:val="22"/>
        </w:rPr>
        <w:lastRenderedPageBreak/>
        <w:t>Monitoring and Review</w:t>
      </w:r>
    </w:p>
    <w:p w:rsidR="00FB02D6" w:rsidRPr="00FB02D6" w:rsidRDefault="00FB02D6" w:rsidP="00FB02D6">
      <w:pPr>
        <w:pStyle w:val="ListParagraph"/>
        <w:ind w:left="780"/>
        <w:rPr>
          <w:rFonts w:asciiTheme="minorHAnsi" w:hAnsiTheme="minorHAnsi"/>
          <w:i/>
          <w:sz w:val="20"/>
          <w:szCs w:val="20"/>
        </w:rPr>
      </w:pPr>
      <w:r w:rsidRPr="00FB02D6">
        <w:rPr>
          <w:rFonts w:asciiTheme="minorHAnsi" w:hAnsiTheme="minorHAnsi" w:cstheme="minorHAnsi"/>
          <w:b/>
          <w:sz w:val="20"/>
          <w:szCs w:val="20"/>
        </w:rPr>
        <w:t xml:space="preserve"> </w:t>
      </w:r>
    </w:p>
    <w:p w:rsidR="00FB02D6" w:rsidRPr="00FB02D6" w:rsidRDefault="00FB02D6" w:rsidP="00FB02D6">
      <w:pPr>
        <w:pStyle w:val="ListParagraph"/>
        <w:numPr>
          <w:ilvl w:val="0"/>
          <w:numId w:val="7"/>
        </w:numPr>
        <w:rPr>
          <w:rFonts w:asciiTheme="minorHAnsi" w:hAnsiTheme="minorHAnsi" w:cstheme="minorHAnsi"/>
          <w:sz w:val="20"/>
          <w:szCs w:val="20"/>
        </w:rPr>
      </w:pPr>
      <w:r w:rsidRPr="00FB02D6">
        <w:rPr>
          <w:rFonts w:asciiTheme="minorHAnsi" w:hAnsiTheme="minorHAnsi" w:cstheme="minorHAnsi"/>
          <w:sz w:val="20"/>
          <w:szCs w:val="20"/>
        </w:rPr>
        <w:t xml:space="preserve">Once numbers are sufficient, an evaluation of the success of both programmes will be undertaken. The evaluation will include analysis of outcomes for those with protected characteristics. </w:t>
      </w:r>
    </w:p>
    <w:p w:rsidR="00FB02D6" w:rsidRPr="00FB02D6" w:rsidRDefault="00FB02D6" w:rsidP="00FB02D6">
      <w:pPr>
        <w:pStyle w:val="ListParagraph"/>
        <w:rPr>
          <w:rFonts w:asciiTheme="minorHAnsi" w:hAnsiTheme="minorHAnsi" w:cstheme="minorHAnsi"/>
          <w:sz w:val="20"/>
          <w:szCs w:val="20"/>
        </w:rPr>
      </w:pPr>
    </w:p>
    <w:p w:rsidR="00FB02D6" w:rsidRPr="00FB02D6" w:rsidRDefault="00FB02D6" w:rsidP="00FB02D6">
      <w:pPr>
        <w:pStyle w:val="ListParagraph"/>
        <w:numPr>
          <w:ilvl w:val="0"/>
          <w:numId w:val="7"/>
        </w:numPr>
        <w:rPr>
          <w:rFonts w:asciiTheme="minorHAnsi" w:hAnsiTheme="minorHAnsi" w:cstheme="minorHAnsi"/>
          <w:sz w:val="20"/>
          <w:szCs w:val="20"/>
        </w:rPr>
      </w:pPr>
      <w:r w:rsidRPr="00FB02D6">
        <w:rPr>
          <w:rFonts w:asciiTheme="minorHAnsi" w:hAnsiTheme="minorHAnsi" w:cstheme="minorHAnsi"/>
          <w:sz w:val="20"/>
          <w:szCs w:val="20"/>
        </w:rPr>
        <w:t>There are regular monitoring meetings with Scottish Government.</w:t>
      </w:r>
    </w:p>
    <w:p w:rsidR="00FB02D6" w:rsidRPr="00FB02D6" w:rsidRDefault="00FB02D6" w:rsidP="00FB02D6">
      <w:pPr>
        <w:pStyle w:val="ListParagraph"/>
        <w:rPr>
          <w:rFonts w:asciiTheme="minorHAnsi" w:hAnsiTheme="minorHAnsi" w:cstheme="minorHAnsi"/>
          <w:sz w:val="20"/>
          <w:szCs w:val="20"/>
        </w:rPr>
      </w:pPr>
    </w:p>
    <w:p w:rsidR="00FB02D6" w:rsidRPr="00FB02D6" w:rsidRDefault="00FB02D6" w:rsidP="00FB02D6">
      <w:pPr>
        <w:rPr>
          <w:rFonts w:asciiTheme="minorHAnsi" w:hAnsiTheme="minorHAnsi" w:cstheme="minorHAnsi"/>
          <w:sz w:val="20"/>
          <w:szCs w:val="20"/>
        </w:rPr>
      </w:pPr>
    </w:p>
    <w:p w:rsidR="00FB02D6" w:rsidRPr="00FB02D6" w:rsidRDefault="00FB02D6" w:rsidP="00FB02D6">
      <w:pPr>
        <w:rPr>
          <w:rFonts w:asciiTheme="minorHAnsi" w:hAnsiTheme="minorHAnsi" w:cstheme="minorHAnsi"/>
          <w:sz w:val="20"/>
          <w:szCs w:val="20"/>
        </w:rPr>
      </w:pPr>
    </w:p>
    <w:p w:rsidR="00FB02D6" w:rsidRPr="00FB02D6" w:rsidRDefault="00FB02D6" w:rsidP="00FB02D6">
      <w:pPr>
        <w:pStyle w:val="ListParagraph"/>
        <w:numPr>
          <w:ilvl w:val="0"/>
          <w:numId w:val="4"/>
        </w:numPr>
        <w:rPr>
          <w:rFonts w:asciiTheme="minorHAnsi" w:hAnsiTheme="minorHAnsi" w:cstheme="minorHAnsi"/>
          <w:b/>
          <w:sz w:val="22"/>
          <w:szCs w:val="22"/>
        </w:rPr>
      </w:pPr>
      <w:r w:rsidRPr="00FB02D6">
        <w:rPr>
          <w:rFonts w:asciiTheme="minorHAnsi" w:hAnsiTheme="minorHAnsi"/>
          <w:b/>
          <w:sz w:val="22"/>
          <w:szCs w:val="22"/>
        </w:rPr>
        <w:t xml:space="preserve"> </w:t>
      </w:r>
      <w:r w:rsidRPr="00FB02D6">
        <w:rPr>
          <w:rFonts w:asciiTheme="minorHAnsi" w:hAnsiTheme="minorHAnsi" w:cstheme="minorHAnsi"/>
          <w:b/>
          <w:sz w:val="22"/>
          <w:szCs w:val="22"/>
        </w:rPr>
        <w:t>Equality Related Risks</w:t>
      </w:r>
    </w:p>
    <w:p w:rsidR="00FB02D6" w:rsidRPr="00FB02D6" w:rsidRDefault="00FB02D6" w:rsidP="00FB02D6">
      <w:pPr>
        <w:rPr>
          <w:rFonts w:asciiTheme="minorHAnsi" w:hAnsiTheme="minorHAnsi" w:cstheme="minorHAnsi"/>
          <w:b/>
          <w:sz w:val="20"/>
          <w:szCs w:val="20"/>
        </w:rPr>
      </w:pPr>
    </w:p>
    <w:p w:rsidR="00FB02D6" w:rsidRPr="00FB02D6" w:rsidRDefault="00FB02D6" w:rsidP="00FB02D6">
      <w:pPr>
        <w:pStyle w:val="ListParagraph"/>
        <w:numPr>
          <w:ilvl w:val="0"/>
          <w:numId w:val="9"/>
        </w:numPr>
        <w:rPr>
          <w:rFonts w:asciiTheme="minorHAnsi" w:hAnsiTheme="minorHAnsi"/>
          <w:sz w:val="20"/>
          <w:szCs w:val="20"/>
        </w:rPr>
      </w:pPr>
      <w:r w:rsidRPr="00FB02D6">
        <w:rPr>
          <w:rFonts w:asciiTheme="minorHAnsi" w:hAnsiTheme="minorHAnsi" w:cstheme="minorHAnsi"/>
          <w:sz w:val="20"/>
          <w:szCs w:val="20"/>
        </w:rPr>
        <w:t>Inconsistency in Management across Health Board Areas</w:t>
      </w:r>
    </w:p>
    <w:p w:rsidR="00FB02D6" w:rsidRPr="00FB02D6" w:rsidRDefault="00FB02D6" w:rsidP="00FB02D6">
      <w:pPr>
        <w:ind w:left="360"/>
        <w:rPr>
          <w:rFonts w:asciiTheme="minorHAnsi" w:hAnsiTheme="minorHAnsi"/>
          <w:sz w:val="20"/>
          <w:szCs w:val="20"/>
        </w:rPr>
      </w:pPr>
    </w:p>
    <w:p w:rsidR="00FB02D6" w:rsidRPr="00FB02D6" w:rsidRDefault="00FB02D6" w:rsidP="00FB02D6">
      <w:pPr>
        <w:ind w:left="360"/>
        <w:rPr>
          <w:rFonts w:asciiTheme="minorHAnsi" w:hAnsiTheme="minorHAnsi"/>
          <w:sz w:val="20"/>
          <w:szCs w:val="20"/>
        </w:rPr>
      </w:pPr>
      <w:r w:rsidRPr="00FB02D6">
        <w:rPr>
          <w:rFonts w:asciiTheme="minorHAnsi" w:hAnsiTheme="minorHAnsi"/>
          <w:sz w:val="20"/>
          <w:szCs w:val="20"/>
        </w:rPr>
        <w:t>Currently, Scotland has fourteen different performers lists. To mitigate against inconsistencies in how these doctors are managed we:</w:t>
      </w:r>
    </w:p>
    <w:p w:rsidR="00FB02D6" w:rsidRPr="00FB02D6" w:rsidRDefault="00FB02D6" w:rsidP="00FB02D6">
      <w:pPr>
        <w:rPr>
          <w:rFonts w:asciiTheme="minorHAnsi" w:hAnsiTheme="minorHAnsi" w:cstheme="minorHAnsi"/>
          <w:sz w:val="20"/>
          <w:szCs w:val="20"/>
        </w:rPr>
      </w:pPr>
    </w:p>
    <w:p w:rsidR="00FB02D6" w:rsidRPr="00FB02D6" w:rsidRDefault="00FB02D6" w:rsidP="00FB02D6">
      <w:pPr>
        <w:pStyle w:val="ListParagraph"/>
        <w:numPr>
          <w:ilvl w:val="0"/>
          <w:numId w:val="8"/>
        </w:numPr>
        <w:rPr>
          <w:rFonts w:asciiTheme="minorHAnsi" w:hAnsiTheme="minorHAnsi" w:cstheme="minorHAnsi"/>
          <w:sz w:val="20"/>
          <w:szCs w:val="20"/>
        </w:rPr>
      </w:pPr>
      <w:r w:rsidRPr="00FB02D6">
        <w:rPr>
          <w:rFonts w:asciiTheme="minorHAnsi" w:hAnsiTheme="minorHAnsi" w:cstheme="minorHAnsi"/>
          <w:sz w:val="20"/>
          <w:szCs w:val="20"/>
        </w:rPr>
        <w:t>Developed and manage a website that includes information and resources relevant to both programmes.</w:t>
      </w:r>
    </w:p>
    <w:p w:rsidR="00FB02D6" w:rsidRPr="00FB02D6" w:rsidRDefault="00FB02D6" w:rsidP="00FB02D6">
      <w:pPr>
        <w:rPr>
          <w:rFonts w:asciiTheme="minorHAnsi" w:hAnsiTheme="minorHAnsi" w:cstheme="minorHAnsi"/>
          <w:sz w:val="20"/>
          <w:szCs w:val="20"/>
        </w:rPr>
      </w:pPr>
    </w:p>
    <w:p w:rsidR="00FB02D6" w:rsidRDefault="00FB02D6" w:rsidP="00FB02D6">
      <w:pPr>
        <w:pStyle w:val="ListParagraph"/>
        <w:numPr>
          <w:ilvl w:val="0"/>
          <w:numId w:val="7"/>
        </w:numPr>
        <w:rPr>
          <w:rFonts w:asciiTheme="minorHAnsi" w:hAnsiTheme="minorHAnsi" w:cstheme="minorHAnsi"/>
          <w:sz w:val="20"/>
          <w:szCs w:val="20"/>
        </w:rPr>
      </w:pPr>
      <w:r w:rsidRPr="00FB02D6">
        <w:rPr>
          <w:rFonts w:asciiTheme="minorHAnsi" w:hAnsiTheme="minorHAnsi" w:cstheme="minorHAnsi"/>
          <w:sz w:val="20"/>
          <w:szCs w:val="20"/>
        </w:rPr>
        <w:t>There are regular meetings with Health Board representatives to ensure consistency in how doctors applying to join Performers Lists are managed.</w:t>
      </w:r>
    </w:p>
    <w:p w:rsidR="00A50DE0" w:rsidRDefault="00A50DE0" w:rsidP="00A50DE0">
      <w:pPr>
        <w:pStyle w:val="ListParagraph"/>
        <w:rPr>
          <w:rFonts w:asciiTheme="minorHAnsi" w:hAnsiTheme="minorHAnsi" w:cstheme="minorHAnsi"/>
          <w:sz w:val="20"/>
          <w:szCs w:val="20"/>
        </w:rPr>
      </w:pPr>
    </w:p>
    <w:p w:rsidR="00A50DE0" w:rsidRPr="00FB02D6" w:rsidRDefault="00A50DE0" w:rsidP="00FB02D6">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There is an intention by Scottish Government to have only one Performers List for Scotland which will help make decisions more equitable and consistent.</w:t>
      </w:r>
    </w:p>
    <w:p w:rsidR="00FB02D6" w:rsidRPr="00FB02D6" w:rsidRDefault="00FB02D6" w:rsidP="00FB02D6">
      <w:pPr>
        <w:pStyle w:val="ListParagraph"/>
        <w:rPr>
          <w:rFonts w:asciiTheme="minorHAnsi" w:hAnsiTheme="minorHAnsi" w:cstheme="minorHAnsi"/>
          <w:sz w:val="20"/>
          <w:szCs w:val="20"/>
        </w:rPr>
      </w:pPr>
    </w:p>
    <w:p w:rsidR="00FB02D6" w:rsidRPr="00FB02D6" w:rsidRDefault="00FB02D6" w:rsidP="00FB02D6">
      <w:pPr>
        <w:rPr>
          <w:rFonts w:asciiTheme="minorHAnsi" w:hAnsiTheme="minorHAnsi" w:cstheme="minorHAnsi"/>
          <w:sz w:val="20"/>
          <w:szCs w:val="20"/>
        </w:rPr>
      </w:pPr>
    </w:p>
    <w:p w:rsidR="00FB02D6" w:rsidRPr="00FB02D6" w:rsidRDefault="00FB02D6" w:rsidP="00FB02D6">
      <w:pPr>
        <w:pStyle w:val="ListParagraph"/>
        <w:numPr>
          <w:ilvl w:val="0"/>
          <w:numId w:val="9"/>
        </w:numPr>
        <w:rPr>
          <w:rFonts w:asciiTheme="minorHAnsi" w:hAnsiTheme="minorHAnsi" w:cstheme="minorHAnsi"/>
          <w:sz w:val="20"/>
          <w:szCs w:val="20"/>
        </w:rPr>
      </w:pPr>
      <w:r w:rsidRPr="00FB02D6">
        <w:rPr>
          <w:rFonts w:asciiTheme="minorHAnsi" w:hAnsiTheme="minorHAnsi" w:cstheme="minorHAnsi"/>
          <w:sz w:val="20"/>
          <w:szCs w:val="20"/>
        </w:rPr>
        <w:t>Inconsistency in Management across NES regions</w:t>
      </w:r>
    </w:p>
    <w:p w:rsidR="00FB02D6" w:rsidRPr="00FB02D6" w:rsidRDefault="00FB02D6" w:rsidP="00FB02D6">
      <w:pPr>
        <w:rPr>
          <w:rFonts w:asciiTheme="minorHAnsi" w:hAnsiTheme="minorHAnsi" w:cstheme="minorHAnsi"/>
          <w:sz w:val="20"/>
          <w:szCs w:val="20"/>
        </w:rPr>
      </w:pPr>
    </w:p>
    <w:p w:rsidR="00FB02D6" w:rsidRPr="00FB02D6" w:rsidRDefault="00FB02D6" w:rsidP="00FB02D6">
      <w:pPr>
        <w:pStyle w:val="ListParagraph"/>
        <w:numPr>
          <w:ilvl w:val="0"/>
          <w:numId w:val="7"/>
        </w:numPr>
        <w:rPr>
          <w:rFonts w:asciiTheme="minorHAnsi" w:hAnsiTheme="minorHAnsi" w:cstheme="minorHAnsi"/>
          <w:sz w:val="20"/>
          <w:szCs w:val="20"/>
        </w:rPr>
      </w:pPr>
      <w:r w:rsidRPr="00FB02D6">
        <w:rPr>
          <w:rFonts w:asciiTheme="minorHAnsi" w:hAnsiTheme="minorHAnsi" w:cstheme="minorHAnsi"/>
          <w:sz w:val="20"/>
          <w:szCs w:val="20"/>
        </w:rPr>
        <w:t>Regional GP Advisors meet every two months to ensure equity in management and to discuss individual cases.</w:t>
      </w:r>
    </w:p>
    <w:p w:rsidR="00FB02D6" w:rsidRPr="00FB02D6" w:rsidRDefault="00FB02D6" w:rsidP="00FB02D6">
      <w:pPr>
        <w:rPr>
          <w:rFonts w:asciiTheme="minorHAnsi" w:hAnsiTheme="minorHAnsi" w:cstheme="minorHAnsi"/>
          <w:sz w:val="20"/>
          <w:szCs w:val="20"/>
        </w:rPr>
      </w:pPr>
    </w:p>
    <w:p w:rsidR="00FB02D6" w:rsidRPr="00FB02D6" w:rsidRDefault="00FB02D6" w:rsidP="00FB02D6">
      <w:pPr>
        <w:rPr>
          <w:rFonts w:asciiTheme="minorHAnsi" w:hAnsiTheme="minorHAnsi" w:cstheme="minorHAnsi"/>
          <w:sz w:val="20"/>
          <w:szCs w:val="20"/>
        </w:rPr>
      </w:pPr>
    </w:p>
    <w:p w:rsidR="00FB02D6" w:rsidRPr="00FB02D6" w:rsidRDefault="00FB02D6" w:rsidP="00FB02D6">
      <w:pPr>
        <w:pStyle w:val="ListParagraph"/>
        <w:numPr>
          <w:ilvl w:val="0"/>
          <w:numId w:val="9"/>
        </w:numPr>
        <w:rPr>
          <w:rFonts w:asciiTheme="minorHAnsi" w:hAnsiTheme="minorHAnsi" w:cstheme="minorHAnsi"/>
          <w:sz w:val="20"/>
          <w:szCs w:val="20"/>
        </w:rPr>
      </w:pPr>
      <w:r w:rsidRPr="00FB02D6">
        <w:rPr>
          <w:rFonts w:asciiTheme="minorHAnsi" w:hAnsiTheme="minorHAnsi" w:cstheme="minorHAnsi"/>
          <w:sz w:val="20"/>
          <w:szCs w:val="20"/>
        </w:rPr>
        <w:t>Programme Differences</w:t>
      </w:r>
    </w:p>
    <w:p w:rsidR="00FB02D6" w:rsidRPr="00FB02D6" w:rsidRDefault="00FB02D6" w:rsidP="00FB02D6">
      <w:pPr>
        <w:pStyle w:val="ListParagraph"/>
        <w:ind w:left="1080"/>
        <w:rPr>
          <w:rFonts w:asciiTheme="minorHAnsi" w:hAnsiTheme="minorHAnsi" w:cstheme="minorHAnsi"/>
          <w:sz w:val="20"/>
          <w:szCs w:val="20"/>
        </w:rPr>
      </w:pPr>
    </w:p>
    <w:p w:rsidR="00FB02D6" w:rsidRPr="00FB02D6" w:rsidRDefault="00FB02D6" w:rsidP="00FB02D6">
      <w:pPr>
        <w:pStyle w:val="ListParagraph"/>
        <w:numPr>
          <w:ilvl w:val="0"/>
          <w:numId w:val="7"/>
        </w:numPr>
        <w:rPr>
          <w:rFonts w:asciiTheme="minorHAnsi" w:hAnsiTheme="minorHAnsi" w:cstheme="minorHAnsi"/>
          <w:sz w:val="20"/>
          <w:szCs w:val="20"/>
        </w:rPr>
      </w:pPr>
      <w:r w:rsidRPr="00FB02D6">
        <w:rPr>
          <w:rFonts w:asciiTheme="minorHAnsi" w:hAnsiTheme="minorHAnsi" w:cstheme="minorHAnsi"/>
          <w:sz w:val="20"/>
          <w:szCs w:val="20"/>
        </w:rPr>
        <w:t>We acknowledge there are differences between the two programmes but the appropriate programme selected for any individual is determined by previous experience and knowledge of working in NHS GP.</w:t>
      </w:r>
    </w:p>
    <w:p w:rsidR="00FB02D6" w:rsidRPr="00FB02D6" w:rsidRDefault="00FB02D6" w:rsidP="00FB02D6">
      <w:pPr>
        <w:rPr>
          <w:rFonts w:asciiTheme="minorHAnsi" w:hAnsiTheme="minorHAnsi" w:cstheme="minorHAnsi"/>
          <w:b/>
          <w:sz w:val="20"/>
          <w:szCs w:val="20"/>
        </w:rPr>
      </w:pPr>
    </w:p>
    <w:p w:rsidR="00FB02D6" w:rsidRPr="00FB02D6" w:rsidRDefault="00FB02D6" w:rsidP="00FB02D6">
      <w:pPr>
        <w:rPr>
          <w:rFonts w:asciiTheme="minorHAnsi" w:hAnsiTheme="minorHAnsi" w:cstheme="minorHAnsi"/>
          <w:b/>
          <w:sz w:val="20"/>
          <w:szCs w:val="20"/>
        </w:rPr>
      </w:pPr>
    </w:p>
    <w:p w:rsidR="00FB02D6" w:rsidRPr="00FB02D6" w:rsidRDefault="00FB02D6" w:rsidP="00FB02D6">
      <w:pPr>
        <w:rPr>
          <w:rFonts w:asciiTheme="minorHAnsi" w:hAnsiTheme="minorHAnsi" w:cstheme="minorHAnsi"/>
          <w:b/>
          <w:sz w:val="20"/>
          <w:szCs w:val="20"/>
        </w:rPr>
      </w:pPr>
    </w:p>
    <w:p w:rsidR="00FB02D6" w:rsidRPr="00FB02D6" w:rsidRDefault="00FB02D6" w:rsidP="00FB02D6">
      <w:pPr>
        <w:ind w:firstLine="720"/>
        <w:rPr>
          <w:rFonts w:asciiTheme="minorHAnsi" w:hAnsiTheme="minorHAnsi" w:cstheme="minorHAnsi"/>
          <w:b/>
          <w:sz w:val="22"/>
          <w:szCs w:val="22"/>
        </w:rPr>
      </w:pPr>
      <w:r w:rsidRPr="00FB02D6">
        <w:rPr>
          <w:rFonts w:asciiTheme="minorHAnsi" w:hAnsiTheme="minorHAnsi" w:cstheme="minorHAnsi"/>
          <w:b/>
          <w:sz w:val="22"/>
          <w:szCs w:val="22"/>
        </w:rPr>
        <w:t xml:space="preserve">7. </w:t>
      </w:r>
      <w:r w:rsidRPr="00FB02D6">
        <w:rPr>
          <w:rFonts w:asciiTheme="minorHAnsi" w:hAnsiTheme="minorHAnsi" w:cstheme="minorHAnsi"/>
          <w:b/>
          <w:sz w:val="22"/>
          <w:szCs w:val="22"/>
        </w:rPr>
        <w:tab/>
        <w:t>Evaluation and Reporting</w:t>
      </w:r>
    </w:p>
    <w:p w:rsidR="00FB02D6" w:rsidRPr="00FB02D6" w:rsidRDefault="00FB02D6" w:rsidP="00FB02D6">
      <w:pPr>
        <w:rPr>
          <w:rFonts w:asciiTheme="minorHAnsi" w:hAnsiTheme="minorHAnsi" w:cstheme="minorHAnsi"/>
          <w:i/>
          <w:sz w:val="20"/>
          <w:szCs w:val="20"/>
        </w:rPr>
      </w:pPr>
    </w:p>
    <w:p w:rsidR="00FB02D6" w:rsidRPr="00FB02D6" w:rsidRDefault="00FB02D6" w:rsidP="00FB02D6">
      <w:pPr>
        <w:pStyle w:val="ListParagraph"/>
        <w:numPr>
          <w:ilvl w:val="0"/>
          <w:numId w:val="7"/>
        </w:numPr>
        <w:rPr>
          <w:rFonts w:asciiTheme="minorHAnsi" w:hAnsiTheme="minorHAnsi" w:cstheme="minorHAnsi"/>
          <w:sz w:val="20"/>
          <w:szCs w:val="20"/>
        </w:rPr>
      </w:pPr>
      <w:r w:rsidRPr="00FB02D6">
        <w:rPr>
          <w:rFonts w:asciiTheme="minorHAnsi" w:hAnsiTheme="minorHAnsi" w:cstheme="minorHAnsi"/>
          <w:sz w:val="20"/>
          <w:szCs w:val="20"/>
        </w:rPr>
        <w:t>The evaluation will include demographic data that is collected on appointment including protected characteristics.</w:t>
      </w:r>
    </w:p>
    <w:p w:rsidR="00FB02D6" w:rsidRPr="00FB02D6" w:rsidRDefault="00FB02D6" w:rsidP="00FB02D6">
      <w:pPr>
        <w:pStyle w:val="ListParagraph"/>
        <w:rPr>
          <w:rFonts w:asciiTheme="minorHAnsi" w:hAnsiTheme="minorHAnsi" w:cstheme="minorHAnsi"/>
          <w:sz w:val="20"/>
          <w:szCs w:val="20"/>
        </w:rPr>
      </w:pPr>
    </w:p>
    <w:p w:rsidR="00FB02D6" w:rsidRPr="00FB02D6" w:rsidRDefault="00FB02D6" w:rsidP="00FB02D6">
      <w:pPr>
        <w:pStyle w:val="ListParagraph"/>
        <w:numPr>
          <w:ilvl w:val="0"/>
          <w:numId w:val="7"/>
        </w:numPr>
        <w:rPr>
          <w:rFonts w:asciiTheme="minorHAnsi" w:hAnsiTheme="minorHAnsi" w:cstheme="minorHAnsi"/>
          <w:sz w:val="20"/>
          <w:szCs w:val="20"/>
        </w:rPr>
      </w:pPr>
      <w:r w:rsidRPr="00FB02D6">
        <w:rPr>
          <w:rFonts w:asciiTheme="minorHAnsi" w:hAnsiTheme="minorHAnsi" w:cstheme="minorHAnsi"/>
          <w:sz w:val="20"/>
          <w:szCs w:val="20"/>
        </w:rPr>
        <w:t>An Educational Fellow will conduct individual and group interviews of both participants on the programmes, their supervisors and other stakeholder groups.</w:t>
      </w:r>
    </w:p>
    <w:p w:rsidR="00FB02D6" w:rsidRPr="00FB02D6" w:rsidRDefault="00FB02D6" w:rsidP="00FB02D6">
      <w:pPr>
        <w:pStyle w:val="ListParagraph"/>
        <w:rPr>
          <w:rFonts w:asciiTheme="minorHAnsi" w:hAnsiTheme="minorHAnsi" w:cstheme="minorHAnsi"/>
          <w:sz w:val="20"/>
          <w:szCs w:val="20"/>
        </w:rPr>
      </w:pPr>
    </w:p>
    <w:p w:rsidR="000E23AE" w:rsidRDefault="00FB02D6" w:rsidP="00FB02D6">
      <w:pPr>
        <w:rPr>
          <w:rFonts w:asciiTheme="minorHAnsi" w:hAnsiTheme="minorHAnsi" w:cstheme="minorHAnsi"/>
          <w:sz w:val="20"/>
          <w:szCs w:val="20"/>
        </w:rPr>
      </w:pPr>
      <w:r w:rsidRPr="00FB02D6">
        <w:rPr>
          <w:rFonts w:asciiTheme="minorHAnsi" w:hAnsiTheme="minorHAnsi" w:cstheme="minorHAnsi"/>
          <w:sz w:val="20"/>
          <w:szCs w:val="20"/>
        </w:rPr>
        <w:t>These results will be widely disseminated and presented to Scottish Government and relevant NES committees.</w:t>
      </w:r>
    </w:p>
    <w:p w:rsidR="00A50DE0" w:rsidRDefault="00A50DE0" w:rsidP="00FB02D6">
      <w:pPr>
        <w:rPr>
          <w:rFonts w:asciiTheme="minorHAnsi" w:hAnsiTheme="minorHAnsi" w:cstheme="minorHAnsi"/>
          <w:sz w:val="20"/>
          <w:szCs w:val="20"/>
        </w:rPr>
      </w:pPr>
    </w:p>
    <w:p w:rsidR="00A50DE0" w:rsidRDefault="00A50DE0" w:rsidP="00FB02D6">
      <w:pPr>
        <w:rPr>
          <w:rFonts w:asciiTheme="minorHAnsi" w:hAnsiTheme="minorHAnsi" w:cstheme="minorHAnsi"/>
          <w:sz w:val="20"/>
          <w:szCs w:val="20"/>
        </w:rPr>
      </w:pPr>
    </w:p>
    <w:p w:rsidR="00A50DE0" w:rsidRPr="00FB02D6" w:rsidRDefault="00A50DE0" w:rsidP="00FB02D6">
      <w:pPr>
        <w:rPr>
          <w:rFonts w:asciiTheme="minorHAnsi" w:hAnsiTheme="minorHAnsi"/>
          <w:sz w:val="20"/>
          <w:szCs w:val="20"/>
        </w:rPr>
      </w:pPr>
      <w:r>
        <w:rPr>
          <w:rFonts w:asciiTheme="minorHAnsi" w:hAnsiTheme="minorHAnsi" w:cstheme="minorHAnsi"/>
          <w:sz w:val="20"/>
          <w:szCs w:val="20"/>
        </w:rPr>
        <w:t>This EQIA is available on the NES website</w:t>
      </w:r>
      <w:r w:rsidRPr="00A50DE0">
        <w:t xml:space="preserve"> </w:t>
      </w:r>
      <w:hyperlink r:id="rId6" w:history="1">
        <w:r w:rsidRPr="00897B77">
          <w:rPr>
            <w:rStyle w:val="Hyperlink"/>
            <w:rFonts w:asciiTheme="minorHAnsi" w:hAnsiTheme="minorHAnsi" w:cstheme="minorHAnsi"/>
            <w:sz w:val="20"/>
            <w:szCs w:val="20"/>
          </w:rPr>
          <w:t>http://www.nes.scot.nhs.uk/education-and-training/by-discipline/medicine/general-practice/gp-induction-and-returners-programme.aspx</w:t>
        </w:r>
      </w:hyperlink>
      <w:r>
        <w:rPr>
          <w:rFonts w:asciiTheme="minorHAnsi" w:hAnsiTheme="minorHAnsi" w:cstheme="minorHAnsi"/>
          <w:sz w:val="20"/>
          <w:szCs w:val="20"/>
        </w:rPr>
        <w:t xml:space="preserve">  </w:t>
      </w:r>
    </w:p>
    <w:sectPr w:rsidR="00A50DE0" w:rsidRPr="00FB02D6" w:rsidSect="000E23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34D05"/>
    <w:multiLevelType w:val="hybridMultilevel"/>
    <w:tmpl w:val="D9287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5B333B"/>
    <w:multiLevelType w:val="hybridMultilevel"/>
    <w:tmpl w:val="1DB2A83E"/>
    <w:lvl w:ilvl="0" w:tplc="0409000F">
      <w:start w:val="1"/>
      <w:numFmt w:val="decimal"/>
      <w:lvlText w:val="%1."/>
      <w:lvlJc w:val="left"/>
      <w:pPr>
        <w:ind w:left="1500" w:hanging="360"/>
      </w:pPr>
      <w:rPr>
        <w:rFonts w:cs="Times New Roman"/>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2" w15:restartNumberingAfterBreak="0">
    <w:nsid w:val="1F715877"/>
    <w:multiLevelType w:val="hybridMultilevel"/>
    <w:tmpl w:val="4BF6A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C279A6"/>
    <w:multiLevelType w:val="hybridMultilevel"/>
    <w:tmpl w:val="5AE0A568"/>
    <w:lvl w:ilvl="0" w:tplc="15802E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53658C"/>
    <w:multiLevelType w:val="hybridMultilevel"/>
    <w:tmpl w:val="0EB81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C31D93"/>
    <w:multiLevelType w:val="hybridMultilevel"/>
    <w:tmpl w:val="E84A1D82"/>
    <w:lvl w:ilvl="0" w:tplc="CC0098AE">
      <w:start w:val="1"/>
      <w:numFmt w:val="decimal"/>
      <w:lvlText w:val="%1."/>
      <w:lvlJc w:val="left"/>
      <w:pPr>
        <w:ind w:left="785" w:hanging="360"/>
      </w:pPr>
      <w:rPr>
        <w:rFonts w:hint="default"/>
        <w:b/>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 w15:restartNumberingAfterBreak="0">
    <w:nsid w:val="46143A1D"/>
    <w:multiLevelType w:val="hybridMultilevel"/>
    <w:tmpl w:val="5D2235B4"/>
    <w:lvl w:ilvl="0" w:tplc="BF50D272">
      <w:start w:val="1"/>
      <w:numFmt w:val="decimal"/>
      <w:lvlText w:val="%1."/>
      <w:lvlJc w:val="left"/>
      <w:pPr>
        <w:ind w:left="780" w:hanging="360"/>
      </w:pPr>
      <w:rPr>
        <w:rFonts w:hint="default"/>
        <w:b/>
        <w:i w:val="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15:restartNumberingAfterBreak="0">
    <w:nsid w:val="4D952249"/>
    <w:multiLevelType w:val="hybridMultilevel"/>
    <w:tmpl w:val="90D6F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877850"/>
    <w:multiLevelType w:val="hybridMultilevel"/>
    <w:tmpl w:val="E20A4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2"/>
  </w:num>
  <w:num w:numId="6">
    <w:abstractNumId w:val="8"/>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2D6"/>
    <w:rsid w:val="000211B2"/>
    <w:rsid w:val="000E23AE"/>
    <w:rsid w:val="003D7F77"/>
    <w:rsid w:val="009C72D7"/>
    <w:rsid w:val="00A50DE0"/>
    <w:rsid w:val="00B370FE"/>
    <w:rsid w:val="00DD2BB9"/>
    <w:rsid w:val="00DD60D5"/>
    <w:rsid w:val="00FB0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0A6EF"/>
  <w15:chartTrackingRefBased/>
  <w15:docId w15:val="{87698673-B567-4B80-BCC7-871C9C39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2D6"/>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FB02D6"/>
    <w:rPr>
      <w:sz w:val="16"/>
      <w:szCs w:val="16"/>
    </w:rPr>
  </w:style>
  <w:style w:type="paragraph" w:styleId="CommentText">
    <w:name w:val="annotation text"/>
    <w:basedOn w:val="Normal"/>
    <w:link w:val="CommentTextChar"/>
    <w:semiHidden/>
    <w:rsid w:val="00FB02D6"/>
    <w:rPr>
      <w:sz w:val="20"/>
      <w:szCs w:val="20"/>
    </w:rPr>
  </w:style>
  <w:style w:type="character" w:customStyle="1" w:styleId="CommentTextChar">
    <w:name w:val="Comment Text Char"/>
    <w:basedOn w:val="DefaultParagraphFont"/>
    <w:link w:val="CommentText"/>
    <w:semiHidden/>
    <w:rsid w:val="00FB02D6"/>
    <w:rPr>
      <w:rFonts w:ascii="Arial" w:eastAsia="Times New Roman" w:hAnsi="Arial" w:cs="Times New Roman"/>
      <w:sz w:val="20"/>
      <w:szCs w:val="20"/>
      <w:lang w:eastAsia="en-GB"/>
    </w:rPr>
  </w:style>
  <w:style w:type="paragraph" w:styleId="ListParagraph">
    <w:name w:val="List Paragraph"/>
    <w:basedOn w:val="Normal"/>
    <w:uiPriority w:val="34"/>
    <w:qFormat/>
    <w:rsid w:val="00FB02D6"/>
    <w:pPr>
      <w:ind w:left="720"/>
    </w:pPr>
  </w:style>
  <w:style w:type="paragraph" w:customStyle="1" w:styleId="Default">
    <w:name w:val="Default"/>
    <w:rsid w:val="00FB02D6"/>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DefaultParagraphFont"/>
    <w:rsid w:val="00FB02D6"/>
    <w:rPr>
      <w:color w:val="0000FF"/>
      <w:u w:val="single"/>
    </w:rPr>
  </w:style>
  <w:style w:type="paragraph" w:styleId="BalloonText">
    <w:name w:val="Balloon Text"/>
    <w:basedOn w:val="Normal"/>
    <w:link w:val="BalloonTextChar"/>
    <w:uiPriority w:val="99"/>
    <w:semiHidden/>
    <w:unhideWhenUsed/>
    <w:rsid w:val="00FB02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2D6"/>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s.scot.nhs.uk/education-and-training/by-discipline/medicine/general-practice/gp-induction-and-returners-programme.aspx" TargetMode="External"/><Relationship Id="rId5" Type="http://schemas.openxmlformats.org/officeDocument/2006/relationships/hyperlink" Target="http://www.nes.scot.nhs.uk/gp-return-indu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1839</Words>
  <Characters>10487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Lints</dc:creator>
  <cp:keywords/>
  <dc:description/>
  <cp:lastModifiedBy>Anthea Lints</cp:lastModifiedBy>
  <cp:revision>2</cp:revision>
  <dcterms:created xsi:type="dcterms:W3CDTF">2016-06-13T11:35:00Z</dcterms:created>
  <dcterms:modified xsi:type="dcterms:W3CDTF">2016-06-13T11:35:00Z</dcterms:modified>
</cp:coreProperties>
</file>