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5F20" w14:textId="4EF67607" w:rsidR="00845B93" w:rsidRDefault="00845B93" w:rsidP="00845B93">
      <w:bookmarkStart w:id="0" w:name="_Hlk71801493"/>
      <w:bookmarkEnd w:id="0"/>
    </w:p>
    <w:p w14:paraId="05485CA3" w14:textId="48DEB57D" w:rsidR="007454DE" w:rsidRPr="001B3DA9" w:rsidRDefault="007454DE" w:rsidP="007454DE">
      <w:pPr>
        <w:pStyle w:val="Default"/>
        <w:rPr>
          <w:rStyle w:val="normaltextrun"/>
          <w:rFonts w:ascii="Clan-Bold" w:eastAsia="Clan-Bold" w:hAnsi="Clan-Bold" w:cs="Clan-Bold"/>
          <w:b/>
          <w:i/>
          <w:iCs/>
          <w:color w:val="365F91"/>
          <w:shd w:val="clear" w:color="auto" w:fill="FFFFFF"/>
        </w:rPr>
      </w:pPr>
      <w:bookmarkStart w:id="1" w:name="_Toc513465576"/>
      <w:r w:rsidRPr="001B3DA9">
        <w:rPr>
          <w:rStyle w:val="normaltextrun"/>
          <w:rFonts w:ascii="Clan-Bold" w:eastAsia="Clan-Bold" w:hAnsi="Clan-Bold" w:cs="Clan-Bold"/>
          <w:b/>
          <w:i/>
          <w:iCs/>
          <w:color w:val="365F91"/>
          <w:shd w:val="clear" w:color="auto" w:fill="FFFFFF"/>
        </w:rPr>
        <w:t>NHS Education for Scotland invites nurses working in general practice to apply for funding for university modules. Modules which are eligible for funding are: - V300 Prescribing, Advanced Clinical Assessment</w:t>
      </w:r>
      <w:r w:rsidR="00185FA3">
        <w:rPr>
          <w:rStyle w:val="normaltextrun"/>
          <w:rFonts w:ascii="Clan-Bold" w:eastAsia="Clan-Bold" w:hAnsi="Clan-Bold" w:cs="Clan-Bold"/>
          <w:b/>
          <w:i/>
          <w:iCs/>
          <w:color w:val="365F91"/>
          <w:shd w:val="clear" w:color="auto" w:fill="FFFFFF"/>
        </w:rPr>
        <w:t xml:space="preserve">, </w:t>
      </w:r>
      <w:r w:rsidR="00C6539A">
        <w:rPr>
          <w:rStyle w:val="normaltextrun"/>
          <w:rFonts w:ascii="Clan-Bold" w:eastAsia="Clan-Bold" w:hAnsi="Clan-Bold" w:cs="Clan-Bold"/>
          <w:b/>
          <w:i/>
          <w:iCs/>
          <w:color w:val="365F91"/>
          <w:shd w:val="clear" w:color="auto" w:fill="FFFFFF"/>
        </w:rPr>
        <w:t>R</w:t>
      </w:r>
      <w:r w:rsidRPr="001B3DA9">
        <w:rPr>
          <w:rStyle w:val="normaltextrun"/>
          <w:rFonts w:ascii="Clan-Bold" w:eastAsia="Clan-Bold" w:hAnsi="Clan-Bold" w:cs="Clan-Bold"/>
          <w:b/>
          <w:i/>
          <w:iCs/>
          <w:color w:val="365F91"/>
          <w:shd w:val="clear" w:color="auto" w:fill="FFFFFF"/>
        </w:rPr>
        <w:t xml:space="preserve">esearch, and Leadership that meet the required criteria. </w:t>
      </w:r>
    </w:p>
    <w:p w14:paraId="6E94BFF2" w14:textId="77777777" w:rsidR="007454DE" w:rsidRDefault="007454DE" w:rsidP="00407DEA">
      <w:pPr>
        <w:rPr>
          <w:rStyle w:val="normaltextrun"/>
          <w:rFonts w:ascii="Clan-Bold" w:eastAsia="Clan-Bold" w:hAnsi="Clan-Bold" w:cs="Clan-Bold"/>
          <w:b/>
          <w:i/>
          <w:color w:val="365F91"/>
          <w:shd w:val="clear" w:color="auto" w:fill="FFFFFF"/>
        </w:rPr>
      </w:pPr>
    </w:p>
    <w:p w14:paraId="1B0BC906" w14:textId="77777777" w:rsidR="00407DEA" w:rsidRDefault="00407DEA" w:rsidP="00AA01FD">
      <w:pPr>
        <w:pStyle w:val="Heading1"/>
        <w:spacing w:before="0" w:after="0"/>
        <w:rPr>
          <w:rFonts w:ascii="Clan-Bold" w:eastAsia="Clan-Bold" w:hAnsi="Clan-Bold" w:cs="Clan-Bold"/>
          <w:lang w:val="en-GB"/>
        </w:rPr>
      </w:pPr>
      <w:bookmarkStart w:id="2" w:name="_GoBack"/>
      <w:bookmarkEnd w:id="2"/>
    </w:p>
    <w:p w14:paraId="01568DF6" w14:textId="2ED4213C" w:rsidR="00CE6F67" w:rsidRPr="00AA01FD" w:rsidRDefault="00CE6F67" w:rsidP="00AA01FD">
      <w:pPr>
        <w:pStyle w:val="Heading1"/>
        <w:spacing w:before="0" w:after="0"/>
        <w:rPr>
          <w:rFonts w:ascii="Clan-Bold" w:eastAsia="Clan-Bold" w:hAnsi="Clan-Bold" w:cs="Clan-Bold"/>
          <w:i/>
          <w:iCs/>
          <w:lang w:val="en-GB"/>
        </w:rPr>
      </w:pPr>
      <w:r w:rsidRPr="00AA01FD">
        <w:rPr>
          <w:rFonts w:ascii="Clan-Bold" w:eastAsia="Clan-Bold" w:hAnsi="Clan-Bold" w:cs="Clan-Bold"/>
          <w:lang w:val="en-GB"/>
        </w:rPr>
        <w:t xml:space="preserve">Background </w:t>
      </w:r>
      <w:bookmarkEnd w:id="1"/>
      <w:r w:rsidRPr="00AA01FD">
        <w:rPr>
          <w:rFonts w:ascii="Clan-Bold" w:eastAsia="Clan-Bold" w:hAnsi="Clan-Bold" w:cs="Clan-Bold"/>
          <w:i/>
          <w:iCs/>
          <w:lang w:val="en-GB"/>
        </w:rPr>
        <w:t xml:space="preserve"> </w:t>
      </w:r>
    </w:p>
    <w:p w14:paraId="56BF07F3" w14:textId="77777777" w:rsidR="00AA01FD" w:rsidRDefault="00AA01FD" w:rsidP="00CE6F67">
      <w:pPr>
        <w:rPr>
          <w:rFonts w:ascii="Source Sans Pro" w:hAnsi="Source Sans Pro"/>
        </w:rPr>
      </w:pPr>
    </w:p>
    <w:p w14:paraId="56C8CC92" w14:textId="4E8C96DC" w:rsidR="00F671D8" w:rsidRPr="00651255"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 xml:space="preserve">NHS Education for Scotland has been commissioned by the Scottish Government to manage investment in education and development for General Practice Nursing (GPN). This funding will support GPN role development in line with the Chief Nursing Officer’s Transforming Roles programme, the General Medical Services Contract (2018)  and the National Health and Social Care Workforce Plan - Part 3 (Scottish Government, 2018) enabling nurses to work in integrated teams to meet the changing health and care needs of Scotland’s population. </w:t>
      </w:r>
    </w:p>
    <w:p w14:paraId="705CD9B9" w14:textId="77777777" w:rsidR="00F671D8" w:rsidRPr="00651255" w:rsidRDefault="00F671D8" w:rsidP="00F671D8">
      <w:pPr>
        <w:pStyle w:val="Default"/>
        <w:rPr>
          <w:rFonts w:ascii="SourceSansPro-Semibold" w:eastAsiaTheme="minorEastAsia" w:hAnsi="SourceSansPro-Semibold" w:cs="SourceSansPro-Semibold"/>
          <w:color w:val="004381"/>
          <w:sz w:val="22"/>
          <w:szCs w:val="22"/>
        </w:rPr>
      </w:pPr>
    </w:p>
    <w:p w14:paraId="7D49330A" w14:textId="77777777" w:rsidR="00A72B10"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 xml:space="preserve">NHS Education for Scotland also provides a range of other fully funded learning for nurses working in general practice including CPD Connect courses, Problem Based Small Group Learning (PBSGL), Graduate Diploma in Integrated Community Nursing, </w:t>
      </w:r>
      <w:proofErr w:type="spellStart"/>
      <w:r w:rsidRPr="00651255">
        <w:rPr>
          <w:rFonts w:ascii="SourceSansPro-Semibold" w:eastAsiaTheme="minorEastAsia" w:hAnsi="SourceSansPro-Semibold" w:cs="SourceSansPro-Semibold"/>
          <w:color w:val="004381"/>
          <w:sz w:val="22"/>
          <w:szCs w:val="22"/>
        </w:rPr>
        <w:t>Turas</w:t>
      </w:r>
      <w:proofErr w:type="spellEnd"/>
      <w:r w:rsidRPr="00651255">
        <w:rPr>
          <w:rFonts w:ascii="SourceSansPro-Semibold" w:eastAsiaTheme="minorEastAsia" w:hAnsi="SourceSansPro-Semibold" w:cs="SourceSansPro-Semibold"/>
          <w:color w:val="004381"/>
          <w:sz w:val="22"/>
          <w:szCs w:val="22"/>
        </w:rPr>
        <w:t xml:space="preserve"> Learn GPN CPD resource, and Coaching. </w:t>
      </w:r>
      <w:proofErr w:type="gramStart"/>
      <w:r w:rsidRPr="00651255">
        <w:rPr>
          <w:rFonts w:ascii="SourceSansPro-Semibold" w:eastAsiaTheme="minorEastAsia" w:hAnsi="SourceSansPro-Semibold" w:cs="SourceSansPro-Semibold"/>
          <w:color w:val="004381"/>
          <w:sz w:val="22"/>
          <w:szCs w:val="22"/>
        </w:rPr>
        <w:t>A number of</w:t>
      </w:r>
      <w:proofErr w:type="gramEnd"/>
      <w:r w:rsidRPr="00651255">
        <w:rPr>
          <w:rFonts w:ascii="SourceSansPro-Semibold" w:eastAsiaTheme="minorEastAsia" w:hAnsi="SourceSansPro-Semibold" w:cs="SourceSansPro-Semibold"/>
          <w:color w:val="004381"/>
          <w:sz w:val="22"/>
          <w:szCs w:val="22"/>
        </w:rPr>
        <w:t xml:space="preserve"> funded university modules will also be commissioned </w:t>
      </w:r>
    </w:p>
    <w:p w14:paraId="3519827F" w14:textId="2DD7BF88" w:rsidR="00F671D8" w:rsidRDefault="00F671D8" w:rsidP="00F671D8">
      <w:pPr>
        <w:pStyle w:val="Default"/>
        <w:rPr>
          <w:rFonts w:ascii="SourceSansPro-Semibold" w:eastAsiaTheme="minorEastAsia" w:hAnsi="SourceSansPro-Semibold" w:cs="SourceSansPro-Semibold"/>
          <w:color w:val="004381"/>
          <w:sz w:val="22"/>
          <w:szCs w:val="22"/>
        </w:rPr>
      </w:pPr>
      <w:r w:rsidRPr="00651255">
        <w:rPr>
          <w:rFonts w:ascii="SourceSansPro-Semibold" w:eastAsiaTheme="minorEastAsia" w:hAnsi="SourceSansPro-Semibold" w:cs="SourceSansPro-Semibold"/>
          <w:color w:val="004381"/>
          <w:sz w:val="22"/>
          <w:szCs w:val="22"/>
        </w:rPr>
        <w:t>and made available.</w:t>
      </w:r>
    </w:p>
    <w:p w14:paraId="48DB99F9" w14:textId="77777777" w:rsidR="00A72B10" w:rsidRPr="00651255" w:rsidRDefault="00A72B10" w:rsidP="00F671D8">
      <w:pPr>
        <w:pStyle w:val="Default"/>
        <w:rPr>
          <w:rFonts w:ascii="SourceSansPro-Semibold" w:eastAsiaTheme="minorEastAsia" w:hAnsi="SourceSansPro-Semibold" w:cs="SourceSansPro-Semibold"/>
          <w:color w:val="004381"/>
          <w:sz w:val="22"/>
          <w:szCs w:val="22"/>
        </w:rPr>
      </w:pPr>
    </w:p>
    <w:p w14:paraId="5399AD89" w14:textId="77777777" w:rsidR="00AA01FD" w:rsidRDefault="00AA01FD" w:rsidP="00AA01FD">
      <w:pPr>
        <w:ind w:left="720"/>
        <w:rPr>
          <w:rFonts w:cs="Clan-Bold"/>
          <w:color w:val="1F3765"/>
          <w:lang w:eastAsia="ja-JP"/>
        </w:rPr>
      </w:pPr>
    </w:p>
    <w:p w14:paraId="40B2B394" w14:textId="6122EDE2" w:rsidR="00CE6F67" w:rsidRPr="00AA01FD" w:rsidRDefault="00CE6F67" w:rsidP="00AA01FD">
      <w:pPr>
        <w:pStyle w:val="Heading1"/>
        <w:spacing w:before="0" w:after="0"/>
        <w:rPr>
          <w:rFonts w:ascii="Clan-Bold" w:eastAsia="Clan-Bold" w:hAnsi="Clan-Bold" w:cs="Clan-Bold"/>
          <w:lang w:val="en-GB"/>
        </w:rPr>
      </w:pPr>
      <w:bookmarkStart w:id="3" w:name="_Toc513465580"/>
      <w:r w:rsidRPr="00AA01FD">
        <w:rPr>
          <w:rFonts w:ascii="Clan-Bold" w:eastAsia="Clan-Bold" w:hAnsi="Clan-Bold" w:cs="Clan-Bold"/>
          <w:lang w:val="en-GB"/>
        </w:rPr>
        <w:t>Criteria for funding</w:t>
      </w:r>
      <w:bookmarkEnd w:id="3"/>
      <w:r w:rsidR="00FE4BD2">
        <w:rPr>
          <w:rFonts w:ascii="Clan-Bold" w:eastAsia="Clan-Bold" w:hAnsi="Clan-Bold" w:cs="Clan-Bold"/>
          <w:lang w:val="en-GB"/>
        </w:rPr>
        <w:t xml:space="preserve"> University modules</w:t>
      </w:r>
    </w:p>
    <w:p w14:paraId="210AB1A2" w14:textId="77777777" w:rsidR="00700C17" w:rsidRDefault="00700C17" w:rsidP="00CE6F67">
      <w:pPr>
        <w:rPr>
          <w:rFonts w:cs="Clan-Bold"/>
          <w:color w:val="1F3765"/>
          <w:lang w:eastAsia="ja-JP"/>
        </w:rPr>
      </w:pPr>
    </w:p>
    <w:p w14:paraId="30FD8983" w14:textId="25D1ED1D" w:rsidR="00293D11" w:rsidRPr="00293D11" w:rsidRDefault="00293D11" w:rsidP="00293D11">
      <w:pPr>
        <w:pStyle w:val="Default"/>
        <w:rPr>
          <w:rFonts w:ascii="SourceSansPro-Semibold" w:eastAsiaTheme="minorEastAsia" w:hAnsi="SourceSansPro-Semibold" w:cs="SourceSansPro-Semibold"/>
          <w:color w:val="004381"/>
          <w:sz w:val="22"/>
          <w:szCs w:val="22"/>
        </w:rPr>
      </w:pPr>
      <w:bookmarkStart w:id="4" w:name="_Toc513465581"/>
      <w:r w:rsidRPr="00293D11">
        <w:rPr>
          <w:rFonts w:ascii="SourceSansPro-Semibold" w:eastAsiaTheme="minorEastAsia" w:hAnsi="SourceSansPro-Semibold" w:cs="SourceSansPro-Semibold"/>
          <w:color w:val="004381"/>
          <w:sz w:val="22"/>
          <w:szCs w:val="22"/>
        </w:rPr>
        <w:t>Applications for funding can be made up to 1</w:t>
      </w:r>
      <w:r w:rsidRPr="00572090">
        <w:rPr>
          <w:rFonts w:ascii="SourceSansPro-Semibold" w:eastAsiaTheme="minorEastAsia" w:hAnsi="SourceSansPro-Semibold" w:cs="SourceSansPro-Semibold"/>
          <w:color w:val="004381"/>
          <w:sz w:val="22"/>
          <w:szCs w:val="22"/>
          <w:vertAlign w:val="superscript"/>
        </w:rPr>
        <w:t>st</w:t>
      </w:r>
      <w:r w:rsidR="00572090">
        <w:rPr>
          <w:rFonts w:ascii="SourceSansPro-Semibold" w:eastAsiaTheme="minorEastAsia" w:hAnsi="SourceSansPro-Semibold" w:cs="SourceSansPro-Semibold"/>
          <w:color w:val="004381"/>
          <w:sz w:val="22"/>
          <w:szCs w:val="22"/>
        </w:rPr>
        <w:t xml:space="preserve"> </w:t>
      </w:r>
      <w:r w:rsidRPr="00293D11">
        <w:rPr>
          <w:rFonts w:ascii="SourceSansPro-Semibold" w:eastAsiaTheme="minorEastAsia" w:hAnsi="SourceSansPro-Semibold" w:cs="SourceSansPro-Semibold"/>
          <w:color w:val="004381"/>
          <w:sz w:val="22"/>
          <w:szCs w:val="22"/>
        </w:rPr>
        <w:t>September 2021</w:t>
      </w:r>
      <w:r w:rsidR="00572090">
        <w:rPr>
          <w:rFonts w:ascii="SourceSansPro-Semibold" w:eastAsiaTheme="minorEastAsia" w:hAnsi="SourceSansPro-Semibold" w:cs="SourceSansPro-Semibold"/>
          <w:color w:val="004381"/>
          <w:sz w:val="22"/>
          <w:szCs w:val="22"/>
        </w:rPr>
        <w:t>,</w:t>
      </w:r>
      <w:r w:rsidRPr="00293D11">
        <w:rPr>
          <w:rFonts w:ascii="SourceSansPro-Semibold" w:eastAsiaTheme="minorEastAsia" w:hAnsi="SourceSansPro-Semibold" w:cs="SourceSansPro-Semibold"/>
          <w:color w:val="004381"/>
          <w:sz w:val="22"/>
          <w:szCs w:val="22"/>
        </w:rPr>
        <w:t xml:space="preserve"> however</w:t>
      </w:r>
      <w:r w:rsidR="00572090">
        <w:rPr>
          <w:rFonts w:ascii="SourceSansPro-Semibold" w:eastAsiaTheme="minorEastAsia" w:hAnsi="SourceSansPro-Semibold" w:cs="SourceSansPro-Semibold"/>
          <w:color w:val="004381"/>
          <w:sz w:val="22"/>
          <w:szCs w:val="22"/>
        </w:rPr>
        <w:t>,</w:t>
      </w:r>
      <w:r w:rsidRPr="00293D11">
        <w:rPr>
          <w:rFonts w:ascii="SourceSansPro-Semibold" w:eastAsiaTheme="minorEastAsia" w:hAnsi="SourceSansPro-Semibold" w:cs="SourceSansPro-Semibold"/>
          <w:color w:val="004381"/>
          <w:sz w:val="22"/>
          <w:szCs w:val="22"/>
        </w:rPr>
        <w:t xml:space="preserve"> as there is limited funding not all requests may be approved. </w:t>
      </w:r>
    </w:p>
    <w:p w14:paraId="099124EF" w14:textId="77777777" w:rsidR="00293D11" w:rsidRPr="00293D11" w:rsidRDefault="00293D11" w:rsidP="00293D11">
      <w:pPr>
        <w:pStyle w:val="Default"/>
        <w:rPr>
          <w:rFonts w:ascii="SourceSansPro-Semibold" w:eastAsiaTheme="minorEastAsia" w:hAnsi="SourceSansPro-Semibold" w:cs="SourceSansPro-Semibold"/>
          <w:color w:val="004381"/>
          <w:sz w:val="22"/>
          <w:szCs w:val="22"/>
        </w:rPr>
      </w:pPr>
    </w:p>
    <w:p w14:paraId="2042A899"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Applicant is employed as a nurse in General Practice in Scotland</w:t>
      </w:r>
    </w:p>
    <w:p w14:paraId="384AC784" w14:textId="752DE3A0"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 xml:space="preserve">Modules eligible for funding are at </w:t>
      </w:r>
      <w:r w:rsidR="00FC6547" w:rsidRPr="00293D11">
        <w:rPr>
          <w:rFonts w:ascii="SourceSansPro-Semibold" w:eastAsiaTheme="minorEastAsia" w:hAnsi="SourceSansPro-Semibold" w:cs="SourceSansPro-Semibold"/>
          <w:color w:val="004381"/>
          <w:sz w:val="22"/>
          <w:szCs w:val="22"/>
        </w:rPr>
        <w:t>master’s</w:t>
      </w:r>
      <w:r w:rsidRPr="00293D11">
        <w:rPr>
          <w:rFonts w:ascii="SourceSansPro-Semibold" w:eastAsiaTheme="minorEastAsia" w:hAnsi="SourceSansPro-Semibold" w:cs="SourceSansPro-Semibold"/>
          <w:color w:val="004381"/>
          <w:sz w:val="22"/>
          <w:szCs w:val="22"/>
        </w:rPr>
        <w:t xml:space="preserve"> level (SCQF Level 11) in the following topics</w:t>
      </w:r>
    </w:p>
    <w:p w14:paraId="27D4F18D" w14:textId="770419E9"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V300 Prescribing</w:t>
      </w:r>
    </w:p>
    <w:p w14:paraId="2F43813F"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Advanced Clinical Assessment (i.e. the module the University would expect to be complete alongside V300 prescribing),</w:t>
      </w:r>
    </w:p>
    <w:p w14:paraId="4BC20B41"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Research</w:t>
      </w:r>
    </w:p>
    <w:p w14:paraId="6E368D62" w14:textId="77777777" w:rsidR="00293D11" w:rsidRPr="00293D11" w:rsidRDefault="00293D11" w:rsidP="00293D11">
      <w:pPr>
        <w:pStyle w:val="Default"/>
        <w:numPr>
          <w:ilvl w:val="0"/>
          <w:numId w:val="10"/>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Leadership</w:t>
      </w:r>
    </w:p>
    <w:p w14:paraId="3DDAE176" w14:textId="5EE943A2"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Modules commence between 1</w:t>
      </w:r>
      <w:r w:rsidRPr="00FC6547">
        <w:rPr>
          <w:rFonts w:ascii="SourceSansPro-Semibold" w:eastAsiaTheme="minorEastAsia" w:hAnsi="SourceSansPro-Semibold" w:cs="SourceSansPro-Semibold"/>
          <w:color w:val="004381"/>
          <w:sz w:val="22"/>
          <w:szCs w:val="22"/>
          <w:vertAlign w:val="superscript"/>
        </w:rPr>
        <w:t>st</w:t>
      </w:r>
      <w:r w:rsidR="00FC6547">
        <w:rPr>
          <w:rFonts w:ascii="SourceSansPro-Semibold" w:eastAsiaTheme="minorEastAsia" w:hAnsi="SourceSansPro-Semibold" w:cs="SourceSansPro-Semibold"/>
          <w:color w:val="004381"/>
          <w:sz w:val="22"/>
          <w:szCs w:val="22"/>
        </w:rPr>
        <w:t xml:space="preserve"> </w:t>
      </w:r>
      <w:r w:rsidRPr="00293D11">
        <w:rPr>
          <w:rFonts w:ascii="SourceSansPro-Semibold" w:eastAsiaTheme="minorEastAsia" w:hAnsi="SourceSansPro-Semibold" w:cs="SourceSansPro-Semibold"/>
          <w:color w:val="004381"/>
          <w:sz w:val="22"/>
          <w:szCs w:val="22"/>
        </w:rPr>
        <w:t>April 2021 and 31</w:t>
      </w:r>
      <w:r w:rsidRPr="00FC6547">
        <w:rPr>
          <w:rFonts w:ascii="SourceSansPro-Semibold" w:eastAsiaTheme="minorEastAsia" w:hAnsi="SourceSansPro-Semibold" w:cs="SourceSansPro-Semibold"/>
          <w:color w:val="004381"/>
          <w:sz w:val="22"/>
          <w:szCs w:val="22"/>
          <w:vertAlign w:val="superscript"/>
        </w:rPr>
        <w:t>st</w:t>
      </w:r>
      <w:r w:rsidRPr="00293D11">
        <w:rPr>
          <w:rFonts w:ascii="SourceSansPro-Semibold" w:eastAsiaTheme="minorEastAsia" w:hAnsi="SourceSansPro-Semibold" w:cs="SourceSansPro-Semibold"/>
          <w:color w:val="004381"/>
          <w:sz w:val="22"/>
          <w:szCs w:val="22"/>
        </w:rPr>
        <w:t xml:space="preserve"> March 2022</w:t>
      </w:r>
    </w:p>
    <w:p w14:paraId="11084543"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Funding application is made before the start of the module</w:t>
      </w:r>
    </w:p>
    <w:p w14:paraId="0555C335"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Course is high quality and delivered by a Higher Education Institution in Scotland</w:t>
      </w:r>
    </w:p>
    <w:p w14:paraId="462E6DA5" w14:textId="26688738"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Cost of the course is competitively priced and best value for money</w:t>
      </w:r>
    </w:p>
    <w:p w14:paraId="5F23696F" w14:textId="77777777" w:rsidR="00E26D85" w:rsidRPr="00293D11" w:rsidRDefault="00E26D85" w:rsidP="00E26D85">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Applicant commits to completing the module and the associated assessment and provides evidence of completion</w:t>
      </w:r>
    </w:p>
    <w:p w14:paraId="37DCC38C" w14:textId="64440D47" w:rsidR="00B64CBD" w:rsidRDefault="00293D11" w:rsidP="00897119">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Line Manager/GP supports the nurse to access the course and supports any assessment and supervision</w:t>
      </w:r>
    </w:p>
    <w:p w14:paraId="58D5D835" w14:textId="77777777"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lastRenderedPageBreak/>
        <w:t>Applicant agrees to contribute to the evaluation of the impact of learning on practice through a national survey</w:t>
      </w:r>
    </w:p>
    <w:p w14:paraId="1ED445DE" w14:textId="1D6235FF" w:rsidR="00293D11" w:rsidRPr="00293D11" w:rsidRDefault="00293D11" w:rsidP="00293D11">
      <w:pPr>
        <w:pStyle w:val="Default"/>
        <w:numPr>
          <w:ilvl w:val="0"/>
          <w:numId w:val="11"/>
        </w:numPr>
        <w:rPr>
          <w:rFonts w:ascii="SourceSansPro-Semibold" w:eastAsiaTheme="minorEastAsia" w:hAnsi="SourceSansPro-Semibold" w:cs="SourceSansPro-Semibold"/>
          <w:color w:val="004381"/>
          <w:sz w:val="22"/>
          <w:szCs w:val="22"/>
        </w:rPr>
      </w:pPr>
      <w:r w:rsidRPr="00293D11">
        <w:rPr>
          <w:rFonts w:ascii="SourceSansPro-Semibold" w:eastAsiaTheme="minorEastAsia" w:hAnsi="SourceSansPro-Semibold" w:cs="SourceSansPro-Semibold"/>
          <w:color w:val="004381"/>
          <w:sz w:val="22"/>
          <w:szCs w:val="22"/>
        </w:rPr>
        <w:t xml:space="preserve">Applicant evidences learning through their professional portfolio e.g. using </w:t>
      </w:r>
      <w:proofErr w:type="spellStart"/>
      <w:r w:rsidRPr="00293D11">
        <w:rPr>
          <w:rFonts w:ascii="SourceSansPro-Semibold" w:eastAsiaTheme="minorEastAsia" w:hAnsi="SourceSansPro-Semibold" w:cs="SourceSansPro-Semibold"/>
          <w:color w:val="004381"/>
          <w:sz w:val="22"/>
          <w:szCs w:val="22"/>
        </w:rPr>
        <w:t>Turas</w:t>
      </w:r>
      <w:proofErr w:type="spellEnd"/>
      <w:r w:rsidRPr="00293D11">
        <w:rPr>
          <w:rFonts w:ascii="SourceSansPro-Semibold" w:eastAsiaTheme="minorEastAsia" w:hAnsi="SourceSansPro-Semibold" w:cs="SourceSansPro-Semibold"/>
          <w:color w:val="004381"/>
          <w:sz w:val="22"/>
          <w:szCs w:val="22"/>
        </w:rPr>
        <w:t xml:space="preserve"> Professional Portfolio which is available to ALL nurses in Scotland </w:t>
      </w:r>
      <w:hyperlink r:id="rId11" w:history="1">
        <w:r w:rsidR="00C73694" w:rsidRPr="00DC088A">
          <w:rPr>
            <w:rStyle w:val="Hyperlink"/>
            <w:rFonts w:ascii="SourceSansPro-Semibold" w:eastAsiaTheme="minorEastAsia" w:hAnsi="SourceSansPro-Semibold" w:cs="SourceSansPro-Semibold"/>
            <w:sz w:val="22"/>
            <w:szCs w:val="22"/>
          </w:rPr>
          <w:t>https://turasnmportfolio.nes.nhs.scot/</w:t>
        </w:r>
      </w:hyperlink>
      <w:r w:rsidR="00C73694">
        <w:rPr>
          <w:rFonts w:ascii="SourceSansPro-Semibold" w:eastAsiaTheme="minorEastAsia" w:hAnsi="SourceSansPro-Semibold" w:cs="SourceSansPro-Semibold"/>
          <w:color w:val="004381"/>
          <w:sz w:val="22"/>
          <w:szCs w:val="22"/>
        </w:rPr>
        <w:t xml:space="preserve"> </w:t>
      </w:r>
    </w:p>
    <w:p w14:paraId="03792F56" w14:textId="103CB907" w:rsidR="00965D23" w:rsidRDefault="00965D23" w:rsidP="00C73694">
      <w:pPr>
        <w:rPr>
          <w:rFonts w:ascii="SourceSansPro-Semibold" w:hAnsi="SourceSansPro-Semibold" w:cs="SourceSansPro-Semibold"/>
          <w:color w:val="004381"/>
          <w:sz w:val="22"/>
          <w:szCs w:val="22"/>
        </w:rPr>
      </w:pPr>
    </w:p>
    <w:p w14:paraId="0492FC5E" w14:textId="77777777" w:rsidR="008E442E" w:rsidRDefault="008E442E" w:rsidP="00C73694">
      <w:pPr>
        <w:rPr>
          <w:rFonts w:ascii="Clan-Bold" w:eastAsia="Clan-Bold" w:hAnsi="Clan-Bold" w:cs="Clan-Bold"/>
          <w:iCs/>
        </w:rPr>
      </w:pPr>
    </w:p>
    <w:p w14:paraId="3B5B55D1" w14:textId="612FA30A" w:rsidR="00CE6F67" w:rsidRPr="00075AD6" w:rsidRDefault="00CE6F67" w:rsidP="00075AD6">
      <w:pPr>
        <w:pStyle w:val="Heading1"/>
        <w:spacing w:before="0" w:after="0"/>
        <w:rPr>
          <w:rFonts w:ascii="Clan-Bold" w:eastAsia="Clan-Bold" w:hAnsi="Clan-Bold" w:cs="Clan-Bold"/>
          <w:iCs/>
          <w:lang w:val="en-GB"/>
        </w:rPr>
      </w:pPr>
      <w:r w:rsidRPr="00075AD6">
        <w:rPr>
          <w:rFonts w:ascii="Clan-Bold" w:eastAsia="Clan-Bold" w:hAnsi="Clan-Bold" w:cs="Clan-Bold"/>
          <w:iCs/>
          <w:lang w:val="en-GB"/>
        </w:rPr>
        <w:t>Approval Process</w:t>
      </w:r>
      <w:bookmarkEnd w:id="4"/>
      <w:r w:rsidRPr="00075AD6">
        <w:rPr>
          <w:rFonts w:ascii="Clan-Bold" w:eastAsia="Clan-Bold" w:hAnsi="Clan-Bold" w:cs="Clan-Bold"/>
          <w:iCs/>
          <w:lang w:val="en-GB"/>
        </w:rPr>
        <w:t xml:space="preserve"> </w:t>
      </w:r>
    </w:p>
    <w:p w14:paraId="01A9F721" w14:textId="77777777" w:rsidR="00075AD6" w:rsidRDefault="00075AD6" w:rsidP="00CE6F67">
      <w:pPr>
        <w:rPr>
          <w:rFonts w:ascii="Source Sans Pro" w:hAnsi="Source Sans Pro"/>
        </w:rPr>
      </w:pPr>
    </w:p>
    <w:p w14:paraId="2B3D0F1C" w14:textId="7ECD97DD" w:rsidR="0030598A" w:rsidRPr="0030598A" w:rsidRDefault="0030598A" w:rsidP="0030598A">
      <w:pPr>
        <w:pStyle w:val="Default"/>
        <w:rPr>
          <w:rFonts w:ascii="SourceSansPro-Semibold" w:eastAsia="Times New Roman" w:hAnsi="SourceSansPro-Semibold" w:cs="SourceSansPro-Semibold"/>
          <w:color w:val="004381"/>
          <w:sz w:val="22"/>
          <w:szCs w:val="22"/>
          <w:lang w:val="en-US" w:bidi="en-US"/>
        </w:rPr>
      </w:pPr>
      <w:r w:rsidRPr="0030598A">
        <w:rPr>
          <w:rFonts w:ascii="SourceSansPro-Semibold" w:eastAsia="Times New Roman" w:hAnsi="SourceSansPro-Semibold" w:cs="SourceSansPro-Semibold"/>
          <w:color w:val="004381"/>
          <w:sz w:val="22"/>
          <w:szCs w:val="22"/>
          <w:lang w:val="en-US" w:bidi="en-US"/>
        </w:rPr>
        <w:t xml:space="preserve">Funding applications will be reviewed by a panel in NHS Education for Scotland to ensure all criteria are met. If necessary, further information will be requested and, in some circumstances, the decision will be referred to the national GPN Advisory Group. All applicants will receive an email to confirm the outcome of their funding application.   </w:t>
      </w:r>
    </w:p>
    <w:p w14:paraId="167812BC" w14:textId="5491F76B" w:rsidR="00650F9D" w:rsidRPr="00A26F53" w:rsidRDefault="00650F9D" w:rsidP="00650F9D">
      <w:pPr>
        <w:pStyle w:val="Heading1"/>
        <w:rPr>
          <w:rFonts w:ascii="Clan-Bold" w:eastAsia="Clan-Bold" w:hAnsi="Clan-Bold" w:cs="Clan-Bold"/>
          <w:iCs/>
          <w:lang w:val="en-GB"/>
        </w:rPr>
      </w:pPr>
      <w:r w:rsidRPr="00A26F53">
        <w:rPr>
          <w:rFonts w:ascii="Clan-Bold" w:eastAsia="Clan-Bold" w:hAnsi="Clan-Bold" w:cs="Clan-Bold"/>
          <w:iCs/>
          <w:lang w:val="en-GB"/>
        </w:rPr>
        <w:t xml:space="preserve">How will the funding be </w:t>
      </w:r>
      <w:r w:rsidR="00426891" w:rsidRPr="00A26F53">
        <w:rPr>
          <w:rFonts w:ascii="Clan-Bold" w:eastAsia="Clan-Bold" w:hAnsi="Clan-Bold" w:cs="Clan-Bold"/>
          <w:iCs/>
          <w:lang w:val="en-GB"/>
        </w:rPr>
        <w:t>paid?</w:t>
      </w:r>
    </w:p>
    <w:p w14:paraId="7644CD6E" w14:textId="77777777" w:rsidR="00E50AA8" w:rsidRPr="00E50AA8" w:rsidRDefault="00E50AA8" w:rsidP="00E50AA8">
      <w:pPr>
        <w:pStyle w:val="Default"/>
        <w:rPr>
          <w:rFonts w:ascii="SourceSansPro-Semibold" w:eastAsia="Times New Roman" w:hAnsi="SourceSansPro-Semibold" w:cs="SourceSansPro-Semibold"/>
          <w:color w:val="004381"/>
          <w:sz w:val="22"/>
          <w:szCs w:val="22"/>
          <w:lang w:val="en-US" w:bidi="en-US"/>
        </w:rPr>
      </w:pPr>
      <w:r w:rsidRPr="00E50AA8">
        <w:rPr>
          <w:rFonts w:ascii="SourceSansPro-Semibold" w:eastAsia="Times New Roman" w:hAnsi="SourceSansPro-Semibold" w:cs="SourceSansPro-Semibold"/>
          <w:color w:val="004381"/>
          <w:sz w:val="22"/>
          <w:szCs w:val="22"/>
          <w:lang w:val="en-US" w:bidi="en-US"/>
        </w:rPr>
        <w:t xml:space="preserve">Confirmation of successful funding will include a communication that can be forwarded to the education provider to confirm that NES will sponsor the module. NES will raise a purchase order to enable the education provider to invoice NES for the cost of the module. </w:t>
      </w:r>
    </w:p>
    <w:p w14:paraId="22B4CFE2" w14:textId="1957B31C" w:rsidR="00CE6F67" w:rsidRDefault="00CE6F67" w:rsidP="00CE6F67">
      <w:pPr>
        <w:rPr>
          <w:rStyle w:val="IntenseEmphasis"/>
          <w:rFonts w:ascii="Cambria" w:eastAsia="Times New Roman" w:hAnsi="Cambria" w:cs="Times New Roman"/>
          <w:b/>
          <w:bCs/>
          <w:sz w:val="26"/>
          <w:szCs w:val="26"/>
          <w:lang w:val="x-none" w:eastAsia="x-none"/>
        </w:rPr>
      </w:pPr>
    </w:p>
    <w:p w14:paraId="547F0513" w14:textId="77777777" w:rsidR="00075AD6" w:rsidRDefault="00075AD6" w:rsidP="00CE6F67">
      <w:pPr>
        <w:rPr>
          <w:rStyle w:val="IntenseEmphasis"/>
          <w:rFonts w:ascii="Cambria" w:eastAsia="Times New Roman" w:hAnsi="Cambria" w:cs="Times New Roman"/>
          <w:b/>
          <w:bCs/>
          <w:sz w:val="26"/>
          <w:szCs w:val="26"/>
          <w:lang w:val="x-none" w:eastAsia="x-none"/>
        </w:rPr>
      </w:pPr>
    </w:p>
    <w:p w14:paraId="0D97DC42" w14:textId="6633EC04" w:rsidR="00CE6F67" w:rsidRPr="00075AD6" w:rsidRDefault="00C81E21" w:rsidP="00075AD6">
      <w:pPr>
        <w:pStyle w:val="Heading1"/>
        <w:spacing w:before="0" w:after="0"/>
        <w:rPr>
          <w:rFonts w:ascii="Clan-Bold" w:eastAsia="Clan-Bold" w:hAnsi="Clan-Bold" w:cs="Clan-Bold"/>
          <w:iCs/>
          <w:lang w:val="en-GB"/>
        </w:rPr>
      </w:pPr>
      <w:r>
        <w:rPr>
          <w:rFonts w:ascii="Clan-Bold" w:eastAsia="Clan-Bold" w:hAnsi="Clan-Bold" w:cs="Clan-Bold"/>
          <w:iCs/>
          <w:lang w:val="en-GB"/>
        </w:rPr>
        <w:t xml:space="preserve">Funding </w:t>
      </w:r>
      <w:r w:rsidR="00D80442">
        <w:rPr>
          <w:rFonts w:ascii="Clan-Bold" w:eastAsia="Clan-Bold" w:hAnsi="Clan-Bold" w:cs="Clan-Bold"/>
          <w:iCs/>
          <w:lang w:val="en-GB"/>
        </w:rPr>
        <w:t>Application Form</w:t>
      </w:r>
    </w:p>
    <w:p w14:paraId="15E98A93" w14:textId="77777777" w:rsidR="00CE6F67" w:rsidRDefault="00CE6F67" w:rsidP="00CE6F67">
      <w:pPr>
        <w:rPr>
          <w:rFonts w:ascii="Source Sans Pro" w:hAnsi="Source Sans Pro"/>
        </w:rPr>
      </w:pPr>
    </w:p>
    <w:p w14:paraId="35C4C565" w14:textId="5EF03725" w:rsidR="00A20774" w:rsidRDefault="00037BF0" w:rsidP="00CE6F67">
      <w:pPr>
        <w:rPr>
          <w:rFonts w:ascii="SourceSansPro-Semibold" w:eastAsia="Times New Roman" w:hAnsi="SourceSansPro-Semibold" w:cs="SourceSansPro-Semibold"/>
          <w:i/>
          <w:color w:val="004381"/>
          <w:sz w:val="22"/>
          <w:szCs w:val="22"/>
          <w:lang w:val="en-US" w:bidi="en-US"/>
        </w:rPr>
      </w:pPr>
      <w:r>
        <w:rPr>
          <w:rFonts w:ascii="SourceSansPro-Semibold" w:eastAsia="Times New Roman" w:hAnsi="SourceSansPro-Semibold" w:cs="SourceSansPro-Semibold"/>
          <w:color w:val="004381"/>
          <w:sz w:val="22"/>
          <w:szCs w:val="22"/>
          <w:lang w:val="en-US" w:bidi="en-US"/>
        </w:rPr>
        <w:t xml:space="preserve">Apply for funding </w:t>
      </w:r>
      <w:r w:rsidR="008B0781">
        <w:rPr>
          <w:rFonts w:ascii="SourceSansPro-Semibold" w:eastAsia="Times New Roman" w:hAnsi="SourceSansPro-Semibold" w:cs="SourceSansPro-Semibold"/>
          <w:color w:val="004381"/>
          <w:sz w:val="22"/>
          <w:szCs w:val="22"/>
          <w:lang w:val="en-US" w:bidi="en-US"/>
        </w:rPr>
        <w:t xml:space="preserve">at </w:t>
      </w:r>
      <w:hyperlink r:id="rId12" w:history="1">
        <w:r w:rsidR="00407F4D" w:rsidRPr="00441E50">
          <w:rPr>
            <w:rStyle w:val="Hyperlink"/>
            <w:rFonts w:ascii="SourceSansPro-Semibold" w:eastAsia="Times New Roman" w:hAnsi="SourceSansPro-Semibold" w:cs="SourceSansPro-Semibold"/>
            <w:sz w:val="22"/>
            <w:szCs w:val="22"/>
            <w:lang w:val="en-US" w:bidi="en-US"/>
          </w:rPr>
          <w:t>https://response.questback.com/nhseducationforscotland/vfdmkkiwu3</w:t>
        </w:r>
      </w:hyperlink>
      <w:r w:rsidR="00407F4D">
        <w:rPr>
          <w:rFonts w:ascii="SourceSansPro-Semibold" w:eastAsia="Times New Roman" w:hAnsi="SourceSansPro-Semibold" w:cs="SourceSansPro-Semibold"/>
          <w:color w:val="004381"/>
          <w:sz w:val="22"/>
          <w:szCs w:val="22"/>
          <w:lang w:val="en-US" w:bidi="en-US"/>
        </w:rPr>
        <w:t xml:space="preserve"> </w:t>
      </w:r>
    </w:p>
    <w:p w14:paraId="760C3874" w14:textId="77777777" w:rsidR="00CE6F67" w:rsidRDefault="00CE6F67" w:rsidP="00CE6F67">
      <w:pPr>
        <w:rPr>
          <w:rFonts w:ascii="Source Sans Pro" w:hAnsi="Source Sans Pro"/>
        </w:rPr>
      </w:pPr>
    </w:p>
    <w:p w14:paraId="7D597DC8" w14:textId="0ECA5049" w:rsidR="00DB370A" w:rsidRPr="006728B5" w:rsidRDefault="006728B5" w:rsidP="00CE6F67">
      <w:pPr>
        <w:rPr>
          <w:rFonts w:ascii="SourceSansPro-Semibold" w:eastAsia="Times New Roman" w:hAnsi="SourceSansPro-Semibold" w:cs="SourceSansPro-Semibold"/>
          <w:color w:val="004381"/>
          <w:sz w:val="22"/>
          <w:szCs w:val="22"/>
          <w:lang w:val="en-US" w:bidi="en-US"/>
        </w:rPr>
      </w:pPr>
      <w:r w:rsidRPr="00426891">
        <w:rPr>
          <w:rFonts w:ascii="SourceSansPro-Semibold" w:eastAsia="Times New Roman" w:hAnsi="SourceSansPro-Semibold" w:cs="SourceSansPro-Semibold"/>
          <w:color w:val="004381"/>
          <w:sz w:val="22"/>
          <w:szCs w:val="22"/>
          <w:lang w:val="en-US" w:bidi="en-US"/>
        </w:rPr>
        <w:t xml:space="preserve">Enquiries to </w:t>
      </w:r>
      <w:hyperlink r:id="rId13" w:history="1">
        <w:r w:rsidR="00CE6F67" w:rsidRPr="00C01A89">
          <w:rPr>
            <w:rStyle w:val="Hyperlink"/>
            <w:rFonts w:cs="Arial"/>
          </w:rPr>
          <w:t>GPNursing@nes.scot.nhs.uk</w:t>
        </w:r>
      </w:hyperlink>
    </w:p>
    <w:p w14:paraId="1D3ADA1F" w14:textId="280A2987" w:rsidR="008C56B3" w:rsidRDefault="008C56B3" w:rsidP="008C56B3">
      <w:pPr>
        <w:rPr>
          <w:rFonts w:cstheme="minorHAnsi"/>
        </w:rPr>
      </w:pPr>
    </w:p>
    <w:p w14:paraId="28E7F5D6" w14:textId="77777777" w:rsidR="00B93B1E" w:rsidRPr="001E0C12" w:rsidRDefault="00B93B1E" w:rsidP="008C56B3">
      <w:pPr>
        <w:rPr>
          <w:rFonts w:cstheme="minorHAnsi"/>
        </w:rPr>
      </w:pPr>
    </w:p>
    <w:p w14:paraId="43EAF6C8" w14:textId="391AC211" w:rsidR="00B93B1E" w:rsidRDefault="008C56B3" w:rsidP="008C56B3">
      <w:pPr>
        <w:rPr>
          <w:rFonts w:ascii="SourceSansPro-Semibold" w:eastAsia="Times New Roman" w:hAnsi="SourceSansPro-Semibold" w:cs="SourceSansPro-Semibold"/>
          <w:color w:val="004381"/>
          <w:sz w:val="22"/>
          <w:szCs w:val="22"/>
          <w:lang w:val="en-US" w:bidi="en-US"/>
        </w:rPr>
      </w:pPr>
      <w:r w:rsidRPr="00B93B1E">
        <w:rPr>
          <w:rFonts w:ascii="SourceSansPro-Semibold" w:eastAsia="Times New Roman" w:hAnsi="SourceSansPro-Semibold" w:cs="SourceSansPro-Semibold"/>
          <w:b/>
          <w:bCs/>
          <w:color w:val="004381"/>
          <w:sz w:val="22"/>
          <w:szCs w:val="22"/>
          <w:lang w:val="en-US" w:bidi="en-US"/>
        </w:rPr>
        <w:t xml:space="preserve">Weblinks </w:t>
      </w:r>
    </w:p>
    <w:p w14:paraId="28E96566" w14:textId="20FDCE95" w:rsidR="008C56B3" w:rsidRDefault="008C56B3" w:rsidP="008C56B3">
      <w:pPr>
        <w:rPr>
          <w:rFonts w:ascii="SourceSansPro-Semibold" w:eastAsia="Times New Roman" w:hAnsi="SourceSansPro-Semibold" w:cs="SourceSansPro-Semibold"/>
          <w:color w:val="004381"/>
          <w:sz w:val="22"/>
          <w:szCs w:val="22"/>
          <w:lang w:val="en-US" w:bidi="en-US"/>
        </w:rPr>
      </w:pPr>
      <w:r w:rsidRPr="008C56B3">
        <w:rPr>
          <w:rFonts w:ascii="SourceSansPro-Semibold" w:eastAsia="Times New Roman" w:hAnsi="SourceSansPro-Semibold" w:cs="SourceSansPro-Semibold"/>
          <w:color w:val="004381"/>
          <w:sz w:val="22"/>
          <w:szCs w:val="22"/>
          <w:lang w:val="en-US" w:bidi="en-US"/>
        </w:rPr>
        <w:t xml:space="preserve">General Practice Nursing </w:t>
      </w:r>
    </w:p>
    <w:p w14:paraId="57A0980E" w14:textId="2C81FA35" w:rsidR="008C56B3" w:rsidRDefault="000D61BE" w:rsidP="008C56B3">
      <w:hyperlink r:id="rId14" w:history="1">
        <w:r w:rsidR="008C56B3" w:rsidRPr="00DC088A">
          <w:rPr>
            <w:rStyle w:val="Hyperlink"/>
          </w:rPr>
          <w:t>https://www.nes.scot.nhs.uk/our-work/general-practice-nursing-gpn/</w:t>
        </w:r>
      </w:hyperlink>
    </w:p>
    <w:p w14:paraId="530AD1E1" w14:textId="77777777" w:rsidR="008C56B3" w:rsidRDefault="008C56B3" w:rsidP="008C56B3"/>
    <w:p w14:paraId="66D07FD6" w14:textId="77777777" w:rsidR="008C56B3" w:rsidRDefault="008C56B3" w:rsidP="008C56B3">
      <w:pPr>
        <w:rPr>
          <w:rFonts w:ascii="SourceSansPro-Semibold" w:eastAsia="Times New Roman" w:hAnsi="SourceSansPro-Semibold" w:cs="SourceSansPro-Semibold"/>
          <w:color w:val="004381"/>
          <w:sz w:val="22"/>
          <w:szCs w:val="22"/>
          <w:lang w:val="en-US" w:bidi="en-US"/>
        </w:rPr>
      </w:pPr>
      <w:r w:rsidRPr="008C56B3">
        <w:rPr>
          <w:rFonts w:ascii="SourceSansPro-Semibold" w:eastAsia="Times New Roman" w:hAnsi="SourceSansPro-Semibold" w:cs="SourceSansPro-Semibold"/>
          <w:color w:val="004381"/>
          <w:sz w:val="22"/>
          <w:szCs w:val="22"/>
          <w:lang w:val="en-US" w:bidi="en-US"/>
        </w:rPr>
        <w:t>Transforming roles</w:t>
      </w:r>
    </w:p>
    <w:p w14:paraId="46F64154" w14:textId="0E9C9000" w:rsidR="008C56B3" w:rsidRPr="0084066C" w:rsidRDefault="000D61BE" w:rsidP="008C56B3">
      <w:hyperlink r:id="rId15" w:history="1">
        <w:r w:rsidR="008C56B3" w:rsidRPr="00DC088A">
          <w:rPr>
            <w:rStyle w:val="Hyperlink"/>
            <w:i/>
            <w:iCs/>
          </w:rPr>
          <w:t>https://www.nes.scot.nhs.uk/our-work/transforming-nmahp-roles/</w:t>
        </w:r>
      </w:hyperlink>
    </w:p>
    <w:p w14:paraId="34A3D53D" w14:textId="40DA61D4" w:rsidR="0018641C" w:rsidRPr="00845B93" w:rsidRDefault="0018641C" w:rsidP="00845B93"/>
    <w:sectPr w:rsidR="0018641C" w:rsidRPr="00845B93" w:rsidSect="001A13E9">
      <w:headerReference w:type="default" r:id="rId16"/>
      <w:footerReference w:type="default" r:id="rId17"/>
      <w:headerReference w:type="first" r:id="rId18"/>
      <w:pgSz w:w="11900" w:h="16840"/>
      <w:pgMar w:top="1440" w:right="1797" w:bottom="1440" w:left="1797" w:header="363"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F2C5" w14:textId="77777777" w:rsidR="002B7D68" w:rsidRDefault="002B7D68" w:rsidP="00494FD9">
      <w:r>
        <w:separator/>
      </w:r>
    </w:p>
  </w:endnote>
  <w:endnote w:type="continuationSeparator" w:id="0">
    <w:p w14:paraId="17D9CE87" w14:textId="77777777" w:rsidR="002B7D68" w:rsidRDefault="002B7D68" w:rsidP="00494FD9">
      <w:r>
        <w:continuationSeparator/>
      </w:r>
    </w:p>
  </w:endnote>
  <w:endnote w:type="continuationNotice" w:id="1">
    <w:p w14:paraId="13F10391" w14:textId="77777777" w:rsidR="002B7D68" w:rsidRDefault="002B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lan-Bold">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374292"/>
      <w:docPartObj>
        <w:docPartGallery w:val="Page Numbers (Bottom of Page)"/>
        <w:docPartUnique/>
      </w:docPartObj>
    </w:sdtPr>
    <w:sdtEndPr>
      <w:rPr>
        <w:noProof/>
      </w:rPr>
    </w:sdtEndPr>
    <w:sdtContent>
      <w:p w14:paraId="12CF5E1F" w14:textId="7EE6A788" w:rsidR="007A208B" w:rsidRDefault="007A208B">
        <w:pPr>
          <w:pStyle w:val="Footer"/>
          <w:jc w:val="right"/>
        </w:pPr>
        <w:r>
          <w:fldChar w:fldCharType="begin"/>
        </w:r>
        <w:r>
          <w:instrText xml:space="preserve"> PAGE   \* MERGEFORMAT </w:instrText>
        </w:r>
        <w:r>
          <w:fldChar w:fldCharType="separate"/>
        </w:r>
        <w:r w:rsidR="00B6065A">
          <w:rPr>
            <w:noProof/>
          </w:rPr>
          <w:t>2</w:t>
        </w:r>
        <w:r>
          <w:rPr>
            <w:noProof/>
          </w:rPr>
          <w:fldChar w:fldCharType="end"/>
        </w:r>
      </w:p>
    </w:sdtContent>
  </w:sdt>
  <w:p w14:paraId="6A2BD15D" w14:textId="01BEE121" w:rsidR="00801DC2" w:rsidRDefault="00801DC2" w:rsidP="003E7902">
    <w:pPr>
      <w:pStyle w:val="Footer"/>
      <w:ind w:right="-1765" w:hanging="18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D868" w14:textId="77777777" w:rsidR="002B7D68" w:rsidRDefault="002B7D68" w:rsidP="00494FD9">
      <w:r>
        <w:separator/>
      </w:r>
    </w:p>
  </w:footnote>
  <w:footnote w:type="continuationSeparator" w:id="0">
    <w:p w14:paraId="151A4D13" w14:textId="77777777" w:rsidR="002B7D68" w:rsidRDefault="002B7D68" w:rsidP="00494FD9">
      <w:r>
        <w:continuationSeparator/>
      </w:r>
    </w:p>
  </w:footnote>
  <w:footnote w:type="continuationNotice" w:id="1">
    <w:p w14:paraId="2F281EFB" w14:textId="77777777" w:rsidR="002B7D68" w:rsidRDefault="002B7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6A0" w14:textId="6E9FDAB8" w:rsidR="002B0D04" w:rsidRDefault="002B0D04" w:rsidP="000E2F7C">
    <w:pPr>
      <w:pStyle w:val="Header"/>
      <w:tabs>
        <w:tab w:val="clear" w:pos="8640"/>
        <w:tab w:val="right" w:pos="9639"/>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137" w14:textId="05501EC9" w:rsidR="0018641C" w:rsidRPr="0018641C" w:rsidRDefault="0018641C" w:rsidP="0018641C">
    <w:pPr>
      <w:pStyle w:val="Header"/>
      <w:ind w:left="-1797"/>
    </w:pPr>
    <w:r>
      <w:rPr>
        <w:noProof/>
        <w:lang w:eastAsia="en-GB"/>
      </w:rPr>
      <mc:AlternateContent>
        <mc:Choice Requires="wps">
          <w:drawing>
            <wp:anchor distT="0" distB="0" distL="114300" distR="114300" simplePos="0" relativeHeight="251658240" behindDoc="0" locked="0" layoutInCell="1" allowOverlap="1" wp14:anchorId="2742C4C2" wp14:editId="0FFD8308">
              <wp:simplePos x="0" y="0"/>
              <wp:positionH relativeFrom="column">
                <wp:posOffset>485775</wp:posOffset>
              </wp:positionH>
              <wp:positionV relativeFrom="paragraph">
                <wp:posOffset>12065</wp:posOffset>
              </wp:positionV>
              <wp:extent cx="5944376" cy="1371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4376" cy="1371600"/>
                      </a:xfrm>
                      <a:prstGeom prst="rect">
                        <a:avLst/>
                      </a:prstGeom>
                      <a:solidFill>
                        <a:srgbClr val="00438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44DD38" w14:textId="77777777" w:rsidR="0018641C" w:rsidRPr="00E72903" w:rsidRDefault="0018641C" w:rsidP="0018641C">
                          <w:pPr>
                            <w:ind w:left="426"/>
                            <w:rPr>
                              <w:rFonts w:ascii="Source Sans Pro" w:hAnsi="Source Sans Pro"/>
                              <w:b/>
                              <w:bCs/>
                              <w:color w:val="FFFFFF" w:themeColor="background1"/>
                              <w:sz w:val="40"/>
                              <w:szCs w:val="40"/>
                            </w:rPr>
                          </w:pPr>
                        </w:p>
                        <w:p w14:paraId="39E77F17" w14:textId="77777777" w:rsidR="0018641C" w:rsidRPr="00801DC2" w:rsidRDefault="0018641C" w:rsidP="0018641C">
                          <w:pPr>
                            <w:ind w:left="426"/>
                            <w:rPr>
                              <w:rFonts w:ascii="Source Sans Pro" w:hAnsi="Source Sans Pro"/>
                              <w:b/>
                              <w:color w:val="FFFFFF" w:themeColor="background1"/>
                              <w:sz w:val="56"/>
                              <w:szCs w:val="56"/>
                            </w:rPr>
                          </w:pPr>
                          <w:r>
                            <w:rPr>
                              <w:rFonts w:ascii="Source Sans Pro" w:hAnsi="Source Sans Pro"/>
                              <w:b/>
                              <w:color w:val="FFFFFF" w:themeColor="background1"/>
                              <w:sz w:val="56"/>
                              <w:szCs w:val="56"/>
                            </w:rPr>
                            <w:t>General Practice Nurse</w:t>
                          </w:r>
                        </w:p>
                        <w:p w14:paraId="010375B8" w14:textId="77777777" w:rsidR="0018641C" w:rsidRPr="00801DC2" w:rsidRDefault="0018641C" w:rsidP="0018641C">
                          <w:pPr>
                            <w:ind w:left="426"/>
                            <w:rPr>
                              <w:rFonts w:ascii="Source Sans Pro" w:hAnsi="Source Sans Pro"/>
                              <w:color w:val="FFFFFF" w:themeColor="background1"/>
                              <w:sz w:val="32"/>
                              <w:szCs w:val="32"/>
                            </w:rPr>
                          </w:pPr>
                          <w:r>
                            <w:rPr>
                              <w:rFonts w:ascii="Source Sans Pro" w:hAnsi="Source Sans Pro"/>
                              <w:color w:val="FFFFFF" w:themeColor="background1"/>
                              <w:sz w:val="32"/>
                              <w:szCs w:val="32"/>
                            </w:rPr>
                            <w:t>Funding for Education and CPD</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2C4C2" id="_x0000_t202" coordsize="21600,21600" o:spt="202" path="m,l,21600r21600,l21600,xe">
              <v:stroke joinstyle="miter"/>
              <v:path gradientshapeok="t" o:connecttype="rect"/>
            </v:shapetype>
            <v:shape id="Text Box 6" o:spid="_x0000_s1026" type="#_x0000_t202" style="position:absolute;left:0;text-align:left;margin-left:38.25pt;margin-top:.95pt;width:468.05pt;height:10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" fillcolor="#004380" stroked="f">
              <v:textbox inset="21.6pt">
                <w:txbxContent>
                  <w:p w14:paraId="3144DD38" w14:textId="77777777" w:rsidR="0018641C" w:rsidRPr="00E72903" w:rsidRDefault="0018641C" w:rsidP="0018641C">
                    <w:pPr>
                      <w:ind w:left="426"/>
                      <w:rPr>
                        <w:rFonts w:ascii="Source Sans Pro" w:hAnsi="Source Sans Pro"/>
                        <w:b/>
                        <w:bCs/>
                        <w:color w:val="FFFFFF" w:themeColor="background1"/>
                        <w:sz w:val="40"/>
                        <w:szCs w:val="40"/>
                      </w:rPr>
                    </w:pPr>
                  </w:p>
                  <w:p w14:paraId="39E77F17" w14:textId="77777777" w:rsidR="0018641C" w:rsidRPr="00801DC2" w:rsidRDefault="0018641C" w:rsidP="0018641C">
                    <w:pPr>
                      <w:ind w:left="426"/>
                      <w:rPr>
                        <w:rFonts w:ascii="Source Sans Pro" w:hAnsi="Source Sans Pro"/>
                        <w:b/>
                        <w:color w:val="FFFFFF" w:themeColor="background1"/>
                        <w:sz w:val="56"/>
                        <w:szCs w:val="56"/>
                      </w:rPr>
                    </w:pPr>
                    <w:r>
                      <w:rPr>
                        <w:rFonts w:ascii="Source Sans Pro" w:hAnsi="Source Sans Pro"/>
                        <w:b/>
                        <w:color w:val="FFFFFF" w:themeColor="background1"/>
                        <w:sz w:val="56"/>
                        <w:szCs w:val="56"/>
                      </w:rPr>
                      <w:t>General Practice Nurse</w:t>
                    </w:r>
                  </w:p>
                  <w:p w14:paraId="010375B8" w14:textId="77777777" w:rsidR="0018641C" w:rsidRPr="00801DC2" w:rsidRDefault="0018641C" w:rsidP="0018641C">
                    <w:pPr>
                      <w:ind w:left="426"/>
                      <w:rPr>
                        <w:rFonts w:ascii="Source Sans Pro" w:hAnsi="Source Sans Pro"/>
                        <w:color w:val="FFFFFF" w:themeColor="background1"/>
                        <w:sz w:val="32"/>
                        <w:szCs w:val="32"/>
                      </w:rPr>
                    </w:pPr>
                    <w:r>
                      <w:rPr>
                        <w:rFonts w:ascii="Source Sans Pro" w:hAnsi="Source Sans Pro"/>
                        <w:color w:val="FFFFFF" w:themeColor="background1"/>
                        <w:sz w:val="32"/>
                        <w:szCs w:val="32"/>
                      </w:rPr>
                      <w:t>Funding for Education and CPD</w:t>
                    </w:r>
                  </w:p>
                </w:txbxContent>
              </v:textbox>
            </v:shape>
          </w:pict>
        </mc:Fallback>
      </mc:AlternateContent>
    </w:r>
    <w:r>
      <w:rPr>
        <w:noProof/>
        <w:lang w:eastAsia="en-GB"/>
      </w:rPr>
      <w:drawing>
        <wp:inline distT="0" distB="0" distL="0" distR="0" wp14:anchorId="73630019" wp14:editId="5F9931EE">
          <wp:extent cx="1561473" cy="1384862"/>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whiteonPurple.jpg"/>
                  <pic:cNvPicPr/>
                </pic:nvPicPr>
                <pic:blipFill>
                  <a:blip r:embed="rId1">
                    <a:extLst>
                      <a:ext uri="{28A0092B-C50C-407E-A947-70E740481C1C}">
                        <a14:useLocalDpi xmlns:a14="http://schemas.microsoft.com/office/drawing/2010/main" val="0"/>
                      </a:ext>
                    </a:extLst>
                  </a:blip>
                  <a:stretch>
                    <a:fillRect/>
                  </a:stretch>
                </pic:blipFill>
                <pic:spPr>
                  <a:xfrm>
                    <a:off x="0" y="0"/>
                    <a:ext cx="1561473" cy="138486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F96"/>
    <w:multiLevelType w:val="hybridMultilevel"/>
    <w:tmpl w:val="7D9E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E6D63"/>
    <w:multiLevelType w:val="hybridMultilevel"/>
    <w:tmpl w:val="FBB8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F3CAD"/>
    <w:multiLevelType w:val="hybridMultilevel"/>
    <w:tmpl w:val="78049B50"/>
    <w:lvl w:ilvl="0" w:tplc="43B28180">
      <w:numFmt w:val="bullet"/>
      <w:lvlText w:val="-"/>
      <w:lvlJc w:val="left"/>
      <w:pPr>
        <w:ind w:left="720" w:hanging="360"/>
      </w:pPr>
      <w:rPr>
        <w:rFonts w:ascii="Source Sans Pro" w:eastAsia="Calibr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453BE"/>
    <w:multiLevelType w:val="hybridMultilevel"/>
    <w:tmpl w:val="C3A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71ED1"/>
    <w:multiLevelType w:val="hybridMultilevel"/>
    <w:tmpl w:val="E1D4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C07635"/>
    <w:multiLevelType w:val="hybridMultilevel"/>
    <w:tmpl w:val="3E4A0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AB70C2"/>
    <w:multiLevelType w:val="hybridMultilevel"/>
    <w:tmpl w:val="49E8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E42CF"/>
    <w:multiLevelType w:val="hybridMultilevel"/>
    <w:tmpl w:val="FEEADE7A"/>
    <w:lvl w:ilvl="0" w:tplc="400C6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62484"/>
    <w:multiLevelType w:val="hybridMultilevel"/>
    <w:tmpl w:val="2E08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B6256"/>
    <w:multiLevelType w:val="hybridMultilevel"/>
    <w:tmpl w:val="B51C6A80"/>
    <w:lvl w:ilvl="0" w:tplc="933CF9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83AB2"/>
    <w:multiLevelType w:val="hybridMultilevel"/>
    <w:tmpl w:val="7D9EB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5"/>
  </w:num>
  <w:num w:numId="6">
    <w:abstractNumId w:val="3"/>
  </w:num>
  <w:num w:numId="7">
    <w:abstractNumId w:val="6"/>
  </w:num>
  <w:num w:numId="8">
    <w:abstractNumId w:val="1"/>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D9"/>
    <w:rsid w:val="000049A8"/>
    <w:rsid w:val="00014A8F"/>
    <w:rsid w:val="00035725"/>
    <w:rsid w:val="00037BF0"/>
    <w:rsid w:val="00045FD8"/>
    <w:rsid w:val="00057D2D"/>
    <w:rsid w:val="00075AD6"/>
    <w:rsid w:val="000855CE"/>
    <w:rsid w:val="00097560"/>
    <w:rsid w:val="000D57A2"/>
    <w:rsid w:val="000D61BE"/>
    <w:rsid w:val="000E2341"/>
    <w:rsid w:val="000E2F7C"/>
    <w:rsid w:val="00115189"/>
    <w:rsid w:val="00120BE7"/>
    <w:rsid w:val="00146A53"/>
    <w:rsid w:val="00185FA3"/>
    <w:rsid w:val="0018641C"/>
    <w:rsid w:val="001A13E9"/>
    <w:rsid w:val="001A3037"/>
    <w:rsid w:val="001B3DA9"/>
    <w:rsid w:val="001C3A43"/>
    <w:rsid w:val="00293D11"/>
    <w:rsid w:val="002B0D04"/>
    <w:rsid w:val="002B7D68"/>
    <w:rsid w:val="002F439B"/>
    <w:rsid w:val="0030598A"/>
    <w:rsid w:val="00313177"/>
    <w:rsid w:val="003557E8"/>
    <w:rsid w:val="00366AA8"/>
    <w:rsid w:val="003E7902"/>
    <w:rsid w:val="00407DEA"/>
    <w:rsid w:val="00407F4D"/>
    <w:rsid w:val="00426891"/>
    <w:rsid w:val="004400D2"/>
    <w:rsid w:val="00481B3B"/>
    <w:rsid w:val="00494FD9"/>
    <w:rsid w:val="004C3835"/>
    <w:rsid w:val="004D7699"/>
    <w:rsid w:val="004E701F"/>
    <w:rsid w:val="00560280"/>
    <w:rsid w:val="00570B79"/>
    <w:rsid w:val="00572090"/>
    <w:rsid w:val="00592C71"/>
    <w:rsid w:val="005B3FE8"/>
    <w:rsid w:val="00620AE2"/>
    <w:rsid w:val="00650F9D"/>
    <w:rsid w:val="00651255"/>
    <w:rsid w:val="006728B5"/>
    <w:rsid w:val="006E0964"/>
    <w:rsid w:val="006F47F2"/>
    <w:rsid w:val="00700C17"/>
    <w:rsid w:val="0071601E"/>
    <w:rsid w:val="00716688"/>
    <w:rsid w:val="007454DE"/>
    <w:rsid w:val="00757F44"/>
    <w:rsid w:val="00794B81"/>
    <w:rsid w:val="00797334"/>
    <w:rsid w:val="007A208B"/>
    <w:rsid w:val="007D522C"/>
    <w:rsid w:val="00801DC2"/>
    <w:rsid w:val="008050F9"/>
    <w:rsid w:val="00845B93"/>
    <w:rsid w:val="00897119"/>
    <w:rsid w:val="00897A48"/>
    <w:rsid w:val="008A74DB"/>
    <w:rsid w:val="008B0781"/>
    <w:rsid w:val="008C56B3"/>
    <w:rsid w:val="008E442E"/>
    <w:rsid w:val="00965D23"/>
    <w:rsid w:val="009B2158"/>
    <w:rsid w:val="009D5A01"/>
    <w:rsid w:val="009E7886"/>
    <w:rsid w:val="00A10B3E"/>
    <w:rsid w:val="00A137FE"/>
    <w:rsid w:val="00A20774"/>
    <w:rsid w:val="00A26F53"/>
    <w:rsid w:val="00A52CCD"/>
    <w:rsid w:val="00A70425"/>
    <w:rsid w:val="00A72B10"/>
    <w:rsid w:val="00AA01FD"/>
    <w:rsid w:val="00AA2DF6"/>
    <w:rsid w:val="00B22503"/>
    <w:rsid w:val="00B232A2"/>
    <w:rsid w:val="00B25E1F"/>
    <w:rsid w:val="00B6065A"/>
    <w:rsid w:val="00B64CBD"/>
    <w:rsid w:val="00B7320C"/>
    <w:rsid w:val="00B82B71"/>
    <w:rsid w:val="00B866BC"/>
    <w:rsid w:val="00B93B1E"/>
    <w:rsid w:val="00BC35DD"/>
    <w:rsid w:val="00BD606C"/>
    <w:rsid w:val="00BE55D2"/>
    <w:rsid w:val="00BF2254"/>
    <w:rsid w:val="00C01A89"/>
    <w:rsid w:val="00C32A7D"/>
    <w:rsid w:val="00C6539A"/>
    <w:rsid w:val="00C7135C"/>
    <w:rsid w:val="00C73694"/>
    <w:rsid w:val="00C807E7"/>
    <w:rsid w:val="00C81E21"/>
    <w:rsid w:val="00CC3EDE"/>
    <w:rsid w:val="00CE503B"/>
    <w:rsid w:val="00CE6F67"/>
    <w:rsid w:val="00CF378D"/>
    <w:rsid w:val="00CF5DF2"/>
    <w:rsid w:val="00D17559"/>
    <w:rsid w:val="00D36F86"/>
    <w:rsid w:val="00D70006"/>
    <w:rsid w:val="00D73C9E"/>
    <w:rsid w:val="00D7735A"/>
    <w:rsid w:val="00D80442"/>
    <w:rsid w:val="00DA1AC5"/>
    <w:rsid w:val="00DA55EF"/>
    <w:rsid w:val="00DB3689"/>
    <w:rsid w:val="00DB370A"/>
    <w:rsid w:val="00DF04B9"/>
    <w:rsid w:val="00E03438"/>
    <w:rsid w:val="00E26D85"/>
    <w:rsid w:val="00E4461C"/>
    <w:rsid w:val="00E50AA8"/>
    <w:rsid w:val="00E62B23"/>
    <w:rsid w:val="00E72903"/>
    <w:rsid w:val="00E72F6A"/>
    <w:rsid w:val="00EA3D61"/>
    <w:rsid w:val="00EB4151"/>
    <w:rsid w:val="00EB56ED"/>
    <w:rsid w:val="00EE597B"/>
    <w:rsid w:val="00EF34D4"/>
    <w:rsid w:val="00F0095E"/>
    <w:rsid w:val="00F06036"/>
    <w:rsid w:val="00F2253A"/>
    <w:rsid w:val="00F401B8"/>
    <w:rsid w:val="00F53535"/>
    <w:rsid w:val="00F671D8"/>
    <w:rsid w:val="00F91073"/>
    <w:rsid w:val="00F92F8D"/>
    <w:rsid w:val="00FA7130"/>
    <w:rsid w:val="00FB3B33"/>
    <w:rsid w:val="00FC554D"/>
    <w:rsid w:val="00FC6547"/>
    <w:rsid w:val="00FE4BD2"/>
    <w:rsid w:val="0884A2B2"/>
    <w:rsid w:val="19B391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E4CAB6"/>
  <w15:docId w15:val="{5D3A43AF-76F1-4D93-9388-998668D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F67"/>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paragraph" w:styleId="Heading2">
    <w:name w:val="heading 2"/>
    <w:basedOn w:val="Normal"/>
    <w:next w:val="Normal"/>
    <w:link w:val="Heading2Char"/>
    <w:uiPriority w:val="9"/>
    <w:unhideWhenUsed/>
    <w:qFormat/>
    <w:rsid w:val="00CE6F67"/>
    <w:pPr>
      <w:pBdr>
        <w:bottom w:val="single" w:sz="8" w:space="1" w:color="4F81BD"/>
      </w:pBdr>
      <w:spacing w:before="200" w:after="80"/>
      <w:outlineLvl w:val="1"/>
    </w:pPr>
    <w:rPr>
      <w:rFonts w:ascii="Cambria" w:eastAsia="Times New Roman" w:hAnsi="Cambria" w:cs="Times New Roman"/>
      <w:color w:val="365F9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character" w:customStyle="1" w:styleId="Heading1Char">
    <w:name w:val="Heading 1 Char"/>
    <w:basedOn w:val="DefaultParagraphFont"/>
    <w:link w:val="Heading1"/>
    <w:uiPriority w:val="9"/>
    <w:rsid w:val="00CE6F67"/>
    <w:rPr>
      <w:rFonts w:ascii="Cambria" w:eastAsia="Times New Roman" w:hAnsi="Cambria" w:cs="Times New Roman"/>
      <w:b/>
      <w:bCs/>
      <w:color w:val="365F91"/>
      <w:lang w:val="x-none" w:eastAsia="x-none"/>
    </w:rPr>
  </w:style>
  <w:style w:type="character" w:customStyle="1" w:styleId="Heading2Char">
    <w:name w:val="Heading 2 Char"/>
    <w:basedOn w:val="DefaultParagraphFont"/>
    <w:link w:val="Heading2"/>
    <w:uiPriority w:val="9"/>
    <w:rsid w:val="00CE6F67"/>
    <w:rPr>
      <w:rFonts w:ascii="Cambria" w:eastAsia="Times New Roman" w:hAnsi="Cambria" w:cs="Times New Roman"/>
      <w:color w:val="365F91"/>
      <w:lang w:val="x-none" w:eastAsia="x-none"/>
    </w:rPr>
  </w:style>
  <w:style w:type="character" w:styleId="Hyperlink">
    <w:name w:val="Hyperlink"/>
    <w:uiPriority w:val="99"/>
    <w:rsid w:val="00CE6F67"/>
    <w:rPr>
      <w:rFonts w:cs="Times New Roman"/>
      <w:color w:val="0000FF"/>
      <w:u w:val="single"/>
    </w:rPr>
  </w:style>
  <w:style w:type="paragraph" w:styleId="ListParagraph">
    <w:name w:val="List Paragraph"/>
    <w:basedOn w:val="Normal"/>
    <w:uiPriority w:val="34"/>
    <w:qFormat/>
    <w:rsid w:val="00CE6F67"/>
    <w:pPr>
      <w:ind w:left="720" w:firstLine="360"/>
      <w:contextualSpacing/>
    </w:pPr>
    <w:rPr>
      <w:rFonts w:ascii="Calibri" w:eastAsia="Times New Roman" w:hAnsi="Calibri" w:cs="Times New Roman"/>
      <w:sz w:val="22"/>
      <w:szCs w:val="22"/>
      <w:lang w:val="en-US" w:bidi="en-US"/>
    </w:rPr>
  </w:style>
  <w:style w:type="character" w:styleId="IntenseEmphasis">
    <w:name w:val="Intense Emphasis"/>
    <w:uiPriority w:val="21"/>
    <w:qFormat/>
    <w:rsid w:val="00CE6F67"/>
    <w:rPr>
      <w:i/>
      <w:iCs/>
      <w:color w:val="5B9BD5"/>
    </w:rPr>
  </w:style>
  <w:style w:type="character" w:styleId="UnresolvedMention">
    <w:name w:val="Unresolved Mention"/>
    <w:basedOn w:val="DefaultParagraphFont"/>
    <w:uiPriority w:val="99"/>
    <w:rsid w:val="00AA01FD"/>
    <w:rPr>
      <w:color w:val="808080"/>
      <w:shd w:val="clear" w:color="auto" w:fill="E6E6E6"/>
    </w:rPr>
  </w:style>
  <w:style w:type="character" w:styleId="FollowedHyperlink">
    <w:name w:val="FollowedHyperlink"/>
    <w:basedOn w:val="DefaultParagraphFont"/>
    <w:uiPriority w:val="99"/>
    <w:semiHidden/>
    <w:unhideWhenUsed/>
    <w:rsid w:val="00DA1AC5"/>
    <w:rPr>
      <w:color w:val="800080" w:themeColor="followedHyperlink"/>
      <w:u w:val="single"/>
    </w:rPr>
  </w:style>
  <w:style w:type="character" w:customStyle="1" w:styleId="normaltextrun">
    <w:name w:val="normaltextrun"/>
    <w:basedOn w:val="DefaultParagraphFont"/>
    <w:rsid w:val="00407DEA"/>
  </w:style>
  <w:style w:type="character" w:customStyle="1" w:styleId="apple-converted-space">
    <w:name w:val="apple-converted-space"/>
    <w:basedOn w:val="DefaultParagraphFont"/>
    <w:rsid w:val="00407DEA"/>
  </w:style>
  <w:style w:type="character" w:customStyle="1" w:styleId="eop">
    <w:name w:val="eop"/>
    <w:basedOn w:val="DefaultParagraphFont"/>
    <w:rsid w:val="00407DEA"/>
  </w:style>
  <w:style w:type="paragraph" w:customStyle="1" w:styleId="Default">
    <w:name w:val="Default"/>
    <w:rsid w:val="007454DE"/>
    <w:pPr>
      <w:autoSpaceDE w:val="0"/>
      <w:autoSpaceDN w:val="0"/>
      <w:adjustRightInd w:val="0"/>
    </w:pPr>
    <w:rPr>
      <w:rFonts w:ascii="Calibri" w:eastAsiaTheme="minorHAnsi" w:hAnsi="Calibri" w:cs="Calibri"/>
      <w:color w:val="000000"/>
    </w:rPr>
  </w:style>
  <w:style w:type="character" w:styleId="FootnoteReference">
    <w:name w:val="footnote reference"/>
    <w:basedOn w:val="DefaultParagraphFont"/>
    <w:uiPriority w:val="99"/>
    <w:semiHidden/>
    <w:unhideWhenUsed/>
    <w:rsid w:val="004D7699"/>
    <w:rPr>
      <w:vertAlign w:val="superscript"/>
    </w:rPr>
  </w:style>
  <w:style w:type="paragraph" w:styleId="FootnoteText">
    <w:name w:val="footnote text"/>
    <w:basedOn w:val="Normal"/>
    <w:link w:val="FootnoteTextChar"/>
    <w:uiPriority w:val="99"/>
    <w:semiHidden/>
    <w:unhideWhenUsed/>
    <w:rsid w:val="00DB3689"/>
    <w:rPr>
      <w:rFonts w:eastAsiaTheme="minorHAnsi"/>
      <w:sz w:val="20"/>
      <w:szCs w:val="20"/>
    </w:rPr>
  </w:style>
  <w:style w:type="character" w:customStyle="1" w:styleId="FootnoteTextChar">
    <w:name w:val="Footnote Text Char"/>
    <w:basedOn w:val="DefaultParagraphFont"/>
    <w:link w:val="FootnoteText"/>
    <w:uiPriority w:val="99"/>
    <w:semiHidden/>
    <w:rsid w:val="00DB3689"/>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Nursing@nes.scot.nhs.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se.questback.com/nhseducationforscotland/vfdmkkiwu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asnmportfolio.nes.nhs.scot/" TargetMode="External"/><Relationship Id="rId5" Type="http://schemas.openxmlformats.org/officeDocument/2006/relationships/numbering" Target="numbering.xml"/><Relationship Id="rId15" Type="http://schemas.openxmlformats.org/officeDocument/2006/relationships/hyperlink" Target="https://www.nes.scot.nhs.uk/our-work/transforming-nmahp-ro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our-work/general-practice-nursing-gp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d1985e4d4108714c9f50030189e8d914">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95e390252c69847be1475fe43e77f502"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292DFB-90DD-454D-B51C-301947F1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A5B04-42E9-4127-A8F7-655C80FB1A50}">
  <ds:schemaRefs>
    <ds:schemaRef ds:uri="http://schemas.microsoft.com/sharepoint/v3/contenttype/forms"/>
  </ds:schemaRefs>
</ds:datastoreItem>
</file>

<file path=customXml/itemProps3.xml><?xml version="1.0" encoding="utf-8"?>
<ds:datastoreItem xmlns:ds="http://schemas.openxmlformats.org/officeDocument/2006/customXml" ds:itemID="{6EDF57B1-DCD3-43FA-B796-438EAE9C18D8}">
  <ds:schemaRefs>
    <ds:schemaRef ds:uri="ac3fd715-a58f-48a4-9877-1aba32c398eb"/>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92d2ad8e-ff2c-439a-aaaf-4c96f8dafb1f"/>
    <ds:schemaRef ds:uri="http://purl.org/dc/dcmitype/"/>
  </ds:schemaRefs>
</ds:datastoreItem>
</file>

<file path=customXml/itemProps4.xml><?xml version="1.0" encoding="utf-8"?>
<ds:datastoreItem xmlns:ds="http://schemas.openxmlformats.org/officeDocument/2006/customXml" ds:itemID="{C25C45B5-AF10-493C-8D66-1C38B341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Lawrie</dc:creator>
  <cp:lastModifiedBy>Christina McAlpine</cp:lastModifiedBy>
  <cp:revision>4</cp:revision>
  <cp:lastPrinted>2017-01-30T11:47:00Z</cp:lastPrinted>
  <dcterms:created xsi:type="dcterms:W3CDTF">2021-05-13T14:14:00Z</dcterms:created>
  <dcterms:modified xsi:type="dcterms:W3CDTF">2021-05-13T14:33:00Z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y fmtid="{D5CDD505-2E9C-101B-9397-08002B2CF9AE}" pid="3" name="SharedWithUsers">
    <vt:lpwstr>119;#Christopher Boyle;#88;#Moira Bodsworth</vt:lpwstr>
  </property>
</Properties>
</file>